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032" w:rsidRPr="00273032" w:rsidRDefault="00273032" w:rsidP="00273032">
      <w:pPr>
        <w:keepNext/>
        <w:spacing w:after="0" w:line="240" w:lineRule="auto"/>
        <w:jc w:val="both"/>
        <w:outlineLvl w:val="0"/>
        <w:rPr>
          <w:rFonts w:ascii="Palatino Linotype" w:eastAsia="Arial Unicode MS" w:hAnsi="Palatino Linotype" w:cs="Times New Roman"/>
          <w:b/>
          <w:bCs/>
          <w:lang w:val="x-none" w:eastAsia="x-none"/>
        </w:rPr>
      </w:pPr>
      <w:bookmarkStart w:id="0" w:name="_GoBack"/>
      <w:bookmarkEnd w:id="0"/>
      <w:r w:rsidRPr="00273032">
        <w:rPr>
          <w:rFonts w:ascii="Palatino Linotype" w:eastAsia="Arial Unicode MS" w:hAnsi="Palatino Linotype" w:cs="Times New Roman"/>
          <w:b/>
          <w:bCs/>
          <w:lang w:val="x-none" w:eastAsia="x-none"/>
        </w:rPr>
        <w:t>LEI</w:t>
      </w:r>
      <w:r>
        <w:rPr>
          <w:rFonts w:ascii="Palatino Linotype" w:eastAsia="Arial Unicode MS" w:hAnsi="Palatino Linotype" w:cs="Times New Roman"/>
          <w:b/>
          <w:bCs/>
          <w:lang w:eastAsia="x-none"/>
        </w:rPr>
        <w:t xml:space="preserve"> MUNICIPAL</w:t>
      </w:r>
      <w:r w:rsidRPr="00273032">
        <w:rPr>
          <w:rFonts w:ascii="Palatino Linotype" w:eastAsia="Arial Unicode MS" w:hAnsi="Palatino Linotype" w:cs="Times New Roman"/>
          <w:b/>
          <w:bCs/>
          <w:lang w:val="x-none" w:eastAsia="x-none"/>
        </w:rPr>
        <w:t xml:space="preserve"> Nº</w:t>
      </w:r>
      <w:r>
        <w:rPr>
          <w:rFonts w:ascii="Palatino Linotype" w:eastAsia="Arial Unicode MS" w:hAnsi="Palatino Linotype" w:cs="Times New Roman"/>
          <w:b/>
          <w:bCs/>
          <w:lang w:eastAsia="x-none"/>
        </w:rPr>
        <w:t>2930/</w:t>
      </w:r>
      <w:r w:rsidRPr="00273032">
        <w:rPr>
          <w:rFonts w:ascii="Palatino Linotype" w:eastAsia="Arial Unicode MS" w:hAnsi="Palatino Linotype" w:cs="Times New Roman"/>
          <w:b/>
          <w:bCs/>
          <w:lang w:val="x-none" w:eastAsia="x-none"/>
        </w:rPr>
        <w:t>2017</w:t>
      </w:r>
      <w:r w:rsidR="00C357B1">
        <w:rPr>
          <w:rFonts w:ascii="Palatino Linotype" w:eastAsia="Arial Unicode MS" w:hAnsi="Palatino Linotype" w:cs="Times New Roman"/>
          <w:b/>
          <w:bCs/>
          <w:lang w:val="x-none" w:eastAsia="x-none"/>
        </w:rPr>
        <w:t xml:space="preserve">       </w:t>
      </w:r>
      <w:r w:rsidRPr="00273032">
        <w:rPr>
          <w:rFonts w:ascii="Palatino Linotype" w:eastAsia="Arial Unicode MS" w:hAnsi="Palatino Linotype" w:cs="Times New Roman"/>
          <w:b/>
          <w:bCs/>
          <w:lang w:val="x-none" w:eastAsia="x-none"/>
        </w:rPr>
        <w:t xml:space="preserve">SÃO MARTINHO/RS, </w:t>
      </w:r>
      <w:r>
        <w:rPr>
          <w:rFonts w:ascii="Palatino Linotype" w:eastAsia="Arial Unicode MS" w:hAnsi="Palatino Linotype" w:cs="Times New Roman"/>
          <w:b/>
          <w:bCs/>
          <w:lang w:eastAsia="x-none"/>
        </w:rPr>
        <w:t>21</w:t>
      </w:r>
      <w:r w:rsidRPr="00273032">
        <w:rPr>
          <w:rFonts w:ascii="Palatino Linotype" w:eastAsia="Arial Unicode MS" w:hAnsi="Palatino Linotype" w:cs="Times New Roman"/>
          <w:b/>
          <w:bCs/>
          <w:lang w:val="x-none" w:eastAsia="x-none"/>
        </w:rPr>
        <w:t xml:space="preserve"> DE </w:t>
      </w:r>
      <w:r>
        <w:rPr>
          <w:rFonts w:ascii="Palatino Linotype" w:eastAsia="Arial Unicode MS" w:hAnsi="Palatino Linotype" w:cs="Times New Roman"/>
          <w:b/>
          <w:bCs/>
          <w:lang w:eastAsia="x-none"/>
        </w:rPr>
        <w:t>NOVEM</w:t>
      </w:r>
      <w:r w:rsidRPr="00273032">
        <w:rPr>
          <w:rFonts w:ascii="Palatino Linotype" w:eastAsia="Arial Unicode MS" w:hAnsi="Palatino Linotype" w:cs="Times New Roman"/>
          <w:b/>
          <w:bCs/>
          <w:lang w:eastAsia="x-none"/>
        </w:rPr>
        <w:t xml:space="preserve">BRO </w:t>
      </w:r>
      <w:r w:rsidRPr="00273032">
        <w:rPr>
          <w:rFonts w:ascii="Palatino Linotype" w:eastAsia="Arial Unicode MS" w:hAnsi="Palatino Linotype" w:cs="Times New Roman"/>
          <w:b/>
          <w:bCs/>
          <w:lang w:val="x-none" w:eastAsia="x-none"/>
        </w:rPr>
        <w:t>DE 2017.</w:t>
      </w:r>
    </w:p>
    <w:p w:rsidR="00273032" w:rsidRPr="00273032" w:rsidRDefault="00273032" w:rsidP="00273032">
      <w:pPr>
        <w:spacing w:after="0" w:line="240" w:lineRule="auto"/>
        <w:ind w:left="4301"/>
        <w:jc w:val="both"/>
        <w:rPr>
          <w:rFonts w:ascii="Palatino Linotype" w:eastAsia="Times New Roman" w:hAnsi="Palatino Linotype" w:cs="Times New Roman"/>
          <w:b/>
          <w:lang w:eastAsia="pt-BR"/>
        </w:rPr>
      </w:pPr>
    </w:p>
    <w:p w:rsidR="00273032" w:rsidRPr="00273032" w:rsidRDefault="00273032" w:rsidP="0039043F">
      <w:pPr>
        <w:pBdr>
          <w:bottom w:val="thinThickSmallGap" w:sz="24" w:space="1" w:color="auto"/>
        </w:pBdr>
        <w:spacing w:after="0" w:line="240" w:lineRule="auto"/>
        <w:ind w:left="4248" w:firstLine="5"/>
        <w:jc w:val="both"/>
        <w:rPr>
          <w:rFonts w:ascii="Palatino Linotype" w:eastAsia="Times New Roman" w:hAnsi="Palatino Linotype" w:cs="Arial"/>
          <w:b/>
          <w:bCs/>
          <w:lang w:eastAsia="pt-BR"/>
        </w:rPr>
      </w:pPr>
      <w:r w:rsidRPr="00273032">
        <w:rPr>
          <w:rFonts w:ascii="Palatino Linotype" w:eastAsia="Times New Roman" w:hAnsi="Palatino Linotype" w:cs="Times New Roman"/>
          <w:bCs/>
          <w:lang w:eastAsia="pt-BR"/>
        </w:rPr>
        <w:t>“</w:t>
      </w:r>
      <w:r w:rsidRPr="00273032">
        <w:rPr>
          <w:rFonts w:ascii="Palatino Linotype" w:eastAsia="Times New Roman" w:hAnsi="Palatino Linotype" w:cs="Arial"/>
          <w:b/>
          <w:bCs/>
          <w:lang w:eastAsia="pt-BR"/>
        </w:rPr>
        <w:t>DISPÕE SOBRE AS DIRETRIZES ORÇAMENTÁRIAS PARA O EXERCÍCIO FINANCEIRO DE 2018”</w:t>
      </w:r>
      <w:r w:rsidR="00D42ECC">
        <w:rPr>
          <w:rFonts w:ascii="Palatino Linotype" w:eastAsia="Times New Roman" w:hAnsi="Palatino Linotype" w:cs="Arial"/>
          <w:b/>
          <w:bCs/>
          <w:lang w:eastAsia="pt-BR"/>
        </w:rPr>
        <w:t>.</w:t>
      </w:r>
    </w:p>
    <w:p w:rsidR="00273032" w:rsidRPr="00273032" w:rsidRDefault="00273032" w:rsidP="00273032">
      <w:pPr>
        <w:spacing w:after="0" w:line="240" w:lineRule="auto"/>
        <w:ind w:left="4248" w:firstLine="5"/>
        <w:jc w:val="both"/>
        <w:rPr>
          <w:rFonts w:ascii="Palatino Linotype" w:eastAsia="Times New Roman" w:hAnsi="Palatino Linotype" w:cs="Times New Roman"/>
          <w:b/>
          <w:sz w:val="16"/>
          <w:szCs w:val="16"/>
          <w:lang w:eastAsia="pt-BR"/>
        </w:rPr>
      </w:pPr>
    </w:p>
    <w:p w:rsidR="00273032" w:rsidRPr="00273032" w:rsidRDefault="00273032" w:rsidP="00273032">
      <w:pPr>
        <w:spacing w:after="0" w:line="240" w:lineRule="auto"/>
        <w:ind w:firstLine="4253"/>
        <w:jc w:val="both"/>
        <w:rPr>
          <w:rFonts w:ascii="Palatino Linotype" w:eastAsia="Times New Roman" w:hAnsi="Palatino Linotype" w:cs="Times New Roman"/>
          <w:b/>
          <w:lang w:eastAsia="pt-BR"/>
        </w:rPr>
      </w:pPr>
    </w:p>
    <w:p w:rsidR="00273032" w:rsidRPr="00273032" w:rsidRDefault="00273032" w:rsidP="00273032">
      <w:pPr>
        <w:spacing w:after="0" w:line="240" w:lineRule="auto"/>
        <w:ind w:firstLine="4253"/>
        <w:jc w:val="both"/>
        <w:rPr>
          <w:rFonts w:ascii="Palatino Linotype" w:eastAsia="Times New Roman" w:hAnsi="Palatino Linotype" w:cs="Times New Roman"/>
          <w:lang w:eastAsia="pt-BR"/>
        </w:rPr>
      </w:pPr>
      <w:r w:rsidRPr="00273032">
        <w:rPr>
          <w:rFonts w:ascii="Palatino Linotype" w:eastAsia="Times New Roman" w:hAnsi="Palatino Linotype" w:cs="Times New Roman"/>
          <w:b/>
          <w:lang w:eastAsia="pt-BR"/>
        </w:rPr>
        <w:t xml:space="preserve">MARINO KREWER </w:t>
      </w:r>
      <w:r w:rsidRPr="00273032">
        <w:rPr>
          <w:rFonts w:ascii="Palatino Linotype" w:eastAsia="Times New Roman" w:hAnsi="Palatino Linotype" w:cs="Times New Roman"/>
          <w:lang w:eastAsia="pt-BR"/>
        </w:rPr>
        <w:t>Prefeito Municipal de São Martinho, Estado do Rio Grande do Sul, no uso das atribuições legais,</w:t>
      </w:r>
    </w:p>
    <w:p w:rsidR="00273032" w:rsidRPr="00273032" w:rsidRDefault="00273032" w:rsidP="00273032">
      <w:pPr>
        <w:spacing w:after="0" w:line="240" w:lineRule="auto"/>
        <w:ind w:firstLine="4253"/>
        <w:jc w:val="both"/>
        <w:rPr>
          <w:rFonts w:ascii="Palatino Linotype" w:eastAsia="Times New Roman" w:hAnsi="Palatino Linotype" w:cs="Times New Roman"/>
          <w:b/>
          <w:lang w:eastAsia="pt-BR"/>
        </w:rPr>
      </w:pPr>
      <w:r w:rsidRPr="00273032">
        <w:rPr>
          <w:rFonts w:ascii="Palatino Linotype" w:eastAsia="Times New Roman" w:hAnsi="Palatino Linotype" w:cs="Times New Roman"/>
          <w:b/>
          <w:lang w:eastAsia="pt-BR"/>
        </w:rPr>
        <w:t>FAZ SABER</w:t>
      </w:r>
      <w:r w:rsidRPr="00273032">
        <w:rPr>
          <w:rFonts w:ascii="Palatino Linotype" w:eastAsia="Times New Roman" w:hAnsi="Palatino Linotype" w:cs="Times New Roman"/>
          <w:lang w:eastAsia="pt-BR"/>
        </w:rPr>
        <w:t>, que a Câmara Municipal de Vereadores aprovou e EU, sanciono e promulgo a seguinte Lei:</w:t>
      </w:r>
    </w:p>
    <w:p w:rsidR="00273032" w:rsidRPr="00273032" w:rsidRDefault="00273032" w:rsidP="00273032">
      <w:pPr>
        <w:spacing w:after="0" w:line="240" w:lineRule="auto"/>
        <w:ind w:firstLine="4253"/>
        <w:jc w:val="both"/>
        <w:rPr>
          <w:rFonts w:ascii="Palatino Linotype" w:eastAsia="Times New Roman" w:hAnsi="Palatino Linotype" w:cs="Arial"/>
          <w:b/>
          <w:bCs/>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1" w:name="_Toc484165646"/>
      <w:r w:rsidRPr="00273032">
        <w:rPr>
          <w:rFonts w:ascii="Palatino Linotype" w:eastAsia="Times New Roman" w:hAnsi="Palatino Linotype" w:cs="Arial"/>
          <w:b/>
          <w:bCs/>
          <w:lang w:eastAsia="pt-BR"/>
        </w:rPr>
        <w:t>Capítulo I - Disposições Preliminares</w:t>
      </w:r>
      <w:bookmarkEnd w:id="1"/>
    </w:p>
    <w:p w:rsidR="00273032" w:rsidRPr="00273032" w:rsidRDefault="00273032" w:rsidP="00273032">
      <w:pPr>
        <w:spacing w:after="0" w:line="240" w:lineRule="auto"/>
        <w:jc w:val="center"/>
        <w:rPr>
          <w:rFonts w:ascii="Arial" w:eastAsia="Times New Roman" w:hAnsi="Arial"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1º</w:t>
      </w:r>
      <w:r w:rsidRPr="00273032">
        <w:rPr>
          <w:rFonts w:ascii="Palatino Linotype" w:eastAsia="Times New Roman" w:hAnsi="Palatino Linotype" w:cs="Arial"/>
          <w:lang w:eastAsia="pt-BR"/>
        </w:rPr>
        <w:t xml:space="preserve"> Ficam estabelecidas, em cumprimento ao disposto no art. 165, § 2.º, da Constituição Federal, no art. 77 da Lei Orgânica do Município, e na Lei Complementar nº 101, de 04 de maio de 2000, as diretrizes gerais para elaboração do orçamento do Município, relativas ao exercício de 2018, compreendendo: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as metas e riscos fiscais;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as prioridades e metas da administração municipal extraídas do Plano Plurianual para 2018/2021;</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a organização e estrutura do orçamento;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as diretrizes para elaboração e execução do orçamento e suas alterações;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 - as disposições relativas à dívida pública municipal;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 - as disposições relativas às despesas do Município com pessoal e encargos sociais;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as disposições sobre alterações na legislação tributária;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VIII - as Disposições Relativas ao Regime de Execução das Emendas Individuais apresentadas ao projeto de lei orçamentária anual;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IX - as disposições gerais.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As diretrizes orçamentárias têm entre suas finalidades: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orientar a elaboração e a execução da Lei Orçamentária Anual para o alcance dos objetivos e das metas do Plano Plurianual – PPA;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ampliar a capacidade do Município de garantir o provimento de bens e serviços à população;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 2º</w:t>
      </w:r>
      <w:r w:rsidRPr="00273032">
        <w:rPr>
          <w:rFonts w:ascii="Palatino Linotype" w:eastAsia="Times New Roman" w:hAnsi="Palatino Linotype" w:cs="Arial"/>
          <w:lang w:eastAsia="pt-BR"/>
        </w:rPr>
        <w:t xml:space="preserve"> A elaboração, fiscalização e controle da lei orçamentária anual para o exercício de 2018, bem como a aprovação e execução do </w:t>
      </w:r>
      <w:r w:rsidRPr="00273032">
        <w:rPr>
          <w:rFonts w:ascii="Palatino Linotype" w:eastAsia="Times New Roman" w:hAnsi="Palatino Linotype" w:cs="Arial"/>
          <w:lang w:eastAsia="pt-BR"/>
        </w:rPr>
        <w:lastRenderedPageBreak/>
        <w:t xml:space="preserve">orçamento fiscal e da seguridade social do Município, além de serem orientados para viabilizar o alcance dos objetivos declarados no PPA, devem: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priorizar o equilíbrio entre receitas e despesas;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evidenciar a transparência da gestão fiscal, observando-se o princípio da publicidade e permitindo amplo acesso da sociedade aos dados do orçamento, inclusive por meio eletrônico;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atingir as metas relativas a receitas, Despesas, resultados primário e nominal e montante da dívida pública estabelecidos no Anexo I – Metas Fiscais desta Lei.</w:t>
      </w:r>
    </w:p>
    <w:p w:rsidR="00273032" w:rsidRPr="00273032" w:rsidRDefault="00273032" w:rsidP="00273032">
      <w:pPr>
        <w:spacing w:after="0" w:line="240" w:lineRule="auto"/>
        <w:ind w:firstLine="4253"/>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2" w:name="_Toc484165647"/>
      <w:r w:rsidRPr="00273032">
        <w:rPr>
          <w:rFonts w:ascii="Palatino Linotype" w:eastAsia="Times New Roman" w:hAnsi="Palatino Linotype" w:cs="Arial"/>
          <w:b/>
          <w:bCs/>
          <w:lang w:eastAsia="pt-BR"/>
        </w:rPr>
        <w:t>Capítulo II - Das Metas e Riscos Fiscais</w:t>
      </w:r>
      <w:bookmarkEnd w:id="2"/>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w:t>
      </w:r>
      <w:r w:rsidRPr="00273032">
        <w:rPr>
          <w:rFonts w:ascii="Palatino Linotype" w:eastAsia="Times New Roman" w:hAnsi="Palatino Linotype" w:cs="Arial"/>
          <w:b/>
          <w:color w:val="000000"/>
          <w:u w:val="single"/>
          <w:vertAlign w:val="superscript"/>
          <w:lang w:eastAsia="pt-BR"/>
        </w:rPr>
        <w:t>o</w:t>
      </w:r>
      <w:r w:rsidRPr="00273032">
        <w:rPr>
          <w:rFonts w:ascii="Palatino Linotype" w:eastAsia="Times New Roman" w:hAnsi="Palatino Linotype" w:cs="Arial"/>
          <w:lang w:eastAsia="pt-BR"/>
        </w:rPr>
        <w:t xml:space="preserve"> As metas fiscais de receitas, despesas, resultado primário, nominal e montante da dívida pública para os exercícios de 2018, 2019 e 2020, de que trata o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xml:space="preserve"> da Lei Complementar n° 101/2000, são as identificadas no ANEXO I, composto dos seguintes demonstrativos: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das metas fiscais anuais de acordo com o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 1</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da LC nº 101/2000, acompanhado da memória e metodologia de cálculo;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da avaliação do cumprimento das metas fiscais relativas ao ano de 2016;</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das metas fiscais previstas para 2018, 2019 e 2020, comparadas com as fixadas nos exercícios de 2015, 2016 e 2017;</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da evolução do patrimônio líquido, conforme o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 2</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inciso III,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 - da origem e aplicação dos recursos obtidos com a alienação de ativos, em cumprimento ao disposto no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 2</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inciso III,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 - da avaliação da situação financeira e atuarial do Regime Próprio de Previdência dos Servidores Públicos Municipais, de acordo com o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 2</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inciso IV, da Lei Complementar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da estimativa e compensação da renúncia de receita, conforme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 2</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inciso V,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VIII – da margem de expansão das despesas obrigatórias de caráter continuado, conforme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 2</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inciso V, da Lei Complementar nº 101/2000.</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1</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xml:space="preserve"> As metas fiscais estabelecidas no Anexo I desta Lei poderão ser ajustadas quando do encaminhamento do projeto de lei orçamentária anual, se verificadas alterações no comportamento das variáveis macroeconômicas utilizadas nas estimativas das receitas e despesas;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 2º Na hipótese prevista pelo § 1º, o demonstrativo de que trata o inciso I do Caput deverá ser elaborado e encaminhado </w:t>
      </w:r>
      <w:r w:rsidRPr="00273032">
        <w:rPr>
          <w:rFonts w:ascii="Palatino Linotype" w:eastAsia="Times New Roman" w:hAnsi="Palatino Linotype" w:cs="Arial"/>
          <w:snapToGrid w:val="0"/>
          <w:lang w:eastAsia="pt-BR"/>
        </w:rPr>
        <w:lastRenderedPageBreak/>
        <w:t xml:space="preserve">juntamente com o projeto de lei orçamentária anual, acompanhado da memória e metodologia de cálculo devidamente atualizadas.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snapToGrid w:val="0"/>
          <w:lang w:eastAsia="pt-BR"/>
        </w:rPr>
        <w:t>§ 3</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xml:space="preserve"> Durante o exercício de 2018, a meta resultado primário prevista no demonstrativo referido no inciso I do caput, poderá ser reduzida até o montante que corresponder à frustração da arrecadação das receitas </w:t>
      </w:r>
      <w:r w:rsidRPr="00273032">
        <w:rPr>
          <w:rFonts w:ascii="Palatino Linotype" w:eastAsia="Times New Roman" w:hAnsi="Palatino Linotype" w:cs="Arial"/>
          <w:lang w:eastAsia="pt-BR"/>
        </w:rPr>
        <w:t xml:space="preserve">que são objeto de transferência constitucional, com base nos </w:t>
      </w:r>
      <w:proofErr w:type="spellStart"/>
      <w:r w:rsidRPr="00273032">
        <w:rPr>
          <w:rFonts w:ascii="Palatino Linotype" w:eastAsia="Times New Roman" w:hAnsi="Palatino Linotype" w:cs="Arial"/>
          <w:lang w:eastAsia="pt-BR"/>
        </w:rPr>
        <w:t>arts</w:t>
      </w:r>
      <w:proofErr w:type="spellEnd"/>
      <w:r w:rsidRPr="00273032">
        <w:rPr>
          <w:rFonts w:ascii="Palatino Linotype" w:eastAsia="Times New Roman" w:hAnsi="Palatino Linotype" w:cs="Arial"/>
          <w:lang w:eastAsia="pt-BR"/>
        </w:rPr>
        <w:t>. 158 e 159 da Constituição Federal.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snapToGrid w:val="0"/>
          <w:lang w:eastAsia="pt-BR"/>
        </w:rPr>
        <w:t>§ 4</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xml:space="preserve"> Para os fins do disposto no § 3º, considera-se frustração de arrecadação, a diferença a menor que for observada entre os valores que forem arrecadados em cada mês, em comparação com igual mês do ano anterior.</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5</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xml:space="preserve"> Nas hipóteses de revisão dos valores das metas fiscais de que trata este artigo, e para efeitos de avaliação na audiência pública prevista no art. 9</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 4</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da LC nº 101/2000, as receitas e despesas realizadas serão comparadas com as metas ajustadas.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3</w:t>
      </w:r>
      <w:r w:rsidRPr="00273032">
        <w:rPr>
          <w:rFonts w:ascii="Palatino Linotype" w:eastAsia="Times New Roman" w:hAnsi="Palatino Linotype" w:cs="Arial"/>
          <w:b/>
          <w:color w:val="000000"/>
          <w:lang w:eastAsia="pt-BR"/>
        </w:rPr>
        <w:t>º</w:t>
      </w:r>
      <w:r w:rsidRPr="00273032">
        <w:rPr>
          <w:rFonts w:ascii="Palatino Linotype" w:eastAsia="Times New Roman" w:hAnsi="Palatino Linotype" w:cs="Arial"/>
          <w:color w:val="000000"/>
          <w:lang w:eastAsia="pt-BR"/>
        </w:rPr>
        <w:t xml:space="preserve"> </w:t>
      </w:r>
      <w:r w:rsidRPr="00273032">
        <w:rPr>
          <w:rFonts w:ascii="Palatino Linotype" w:eastAsia="Times New Roman" w:hAnsi="Palatino Linotype" w:cs="Arial"/>
          <w:snapToGrid w:val="0"/>
          <w:lang w:eastAsia="pt-BR"/>
        </w:rPr>
        <w:t>Estão discriminados, no Anexo II, que integra esta Lei, os Riscos Fiscais, onde são avaliados os riscos orçamentários e os passivos contingentes capazes de afetar as contas públicas, em cumprimento ao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snapToGrid w:val="0"/>
          <w:lang w:eastAsia="pt-BR"/>
        </w:rPr>
        <w:t>, § 3</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snapToGrid w:val="0"/>
          <w:lang w:eastAsia="pt-BR"/>
        </w:rPr>
        <w:t>,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Consideram-se passivos contingentes e outros riscos fiscais possíveis obrigações à serem cumpridas em 2018, cuja existência será confirmada somente pela ocorrência ou não de um ou mais eventos futuros que não estejam totalmente sob controle do Município.</w:t>
      </w:r>
    </w:p>
    <w:p w:rsidR="00273032" w:rsidRPr="00273032" w:rsidRDefault="00273032" w:rsidP="00273032">
      <w:pPr>
        <w:spacing w:after="0" w:line="240" w:lineRule="auto"/>
        <w:ind w:firstLine="4253"/>
        <w:jc w:val="both"/>
        <w:rPr>
          <w:rFonts w:ascii="Palatino Linotype" w:eastAsia="Times New Roman" w:hAnsi="Palatino Linotype" w:cs="Arial"/>
          <w:color w:val="FF0000"/>
          <w:lang w:eastAsia="pt-BR"/>
        </w:rPr>
      </w:pPr>
      <w:r w:rsidRPr="00273032">
        <w:rPr>
          <w:rFonts w:ascii="Palatino Linotype" w:eastAsia="Times New Roman" w:hAnsi="Palatino Linotype" w:cs="Arial"/>
          <w:lang w:eastAsia="pt-BR"/>
        </w:rPr>
        <w:t>§ 2º Também são passivos contingentes, obrigações decorrentes de eventos passados, cuja liquidação em 2018 seja improvável ou cujo valor não possa ser tecnicamente estimado.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w:t>
      </w:r>
      <w:r w:rsidRPr="00273032">
        <w:rPr>
          <w:rFonts w:ascii="Palatino Linotype" w:eastAsia="Times New Roman" w:hAnsi="Palatino Linotype" w:cs="Arial"/>
          <w:color w:val="000000"/>
          <w:lang w:eastAsia="pt-BR"/>
        </w:rPr>
        <w:t xml:space="preserve">º </w:t>
      </w:r>
      <w:r w:rsidRPr="00273032">
        <w:rPr>
          <w:rFonts w:ascii="Palatino Linotype" w:eastAsia="Times New Roman" w:hAnsi="Palatino Linotype" w:cs="Arial"/>
          <w:lang w:eastAsia="pt-BR"/>
        </w:rPr>
        <w:t>Caso se concretizem, os riscos fiscais serão atendidos com recursos da Reserva de Contingência e, sendo esta insuficiente, serão indicados, também, o excesso de arrecadação e o superávit financeiro do exercício anterior, se houver, obedecida a fonte de recursos correspondente.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4</w:t>
      </w:r>
      <w:r w:rsidRPr="00273032">
        <w:rPr>
          <w:rFonts w:ascii="Palatino Linotype" w:eastAsia="Times New Roman" w:hAnsi="Palatino Linotype" w:cs="Arial"/>
          <w:color w:val="000000"/>
          <w:lang w:eastAsia="pt-BR"/>
        </w:rPr>
        <w:t xml:space="preserve">º </w:t>
      </w:r>
      <w:r w:rsidRPr="00273032">
        <w:rPr>
          <w:rFonts w:ascii="Palatino Linotype" w:eastAsia="Times New Roman" w:hAnsi="Palatino Linotype" w:cs="Arial"/>
          <w:lang w:eastAsia="pt-BR"/>
        </w:rPr>
        <w:t>Sendo esses recursos insuficientes, o Poder Executivo poderá reduzir as dotações destinadas para investimentos, desde que não comprometidas.</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3" w:name="_Toc484165648"/>
      <w:r w:rsidRPr="00273032">
        <w:rPr>
          <w:rFonts w:ascii="Palatino Linotype" w:eastAsia="Times New Roman" w:hAnsi="Palatino Linotype" w:cs="Arial"/>
          <w:b/>
          <w:bCs/>
          <w:lang w:eastAsia="pt-BR"/>
        </w:rPr>
        <w:t xml:space="preserve">Capítulo III - Das Metas e Prioridades da Administração Pública Municipal </w:t>
      </w: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Extraídas do Plano Plurianual</w:t>
      </w:r>
      <w:bookmarkEnd w:id="3"/>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4</w:t>
      </w:r>
      <w:r w:rsidRPr="00273032">
        <w:rPr>
          <w:rFonts w:ascii="Palatino Linotype" w:eastAsia="Times New Roman" w:hAnsi="Palatino Linotype" w:cs="Arial"/>
          <w:b/>
          <w:color w:val="000000"/>
          <w:lang w:eastAsia="pt-BR"/>
        </w:rPr>
        <w:t>º</w:t>
      </w:r>
      <w:r w:rsidRPr="00273032">
        <w:rPr>
          <w:rFonts w:ascii="Palatino Linotype" w:eastAsia="Times New Roman" w:hAnsi="Palatino Linotype" w:cs="Arial"/>
          <w:color w:val="000000"/>
          <w:lang w:eastAsia="pt-BR"/>
        </w:rPr>
        <w:t xml:space="preserve"> </w:t>
      </w:r>
      <w:r w:rsidRPr="00273032">
        <w:rPr>
          <w:rFonts w:ascii="Palatino Linotype" w:eastAsia="Times New Roman" w:hAnsi="Palatino Linotype" w:cs="Arial"/>
          <w:snapToGrid w:val="0"/>
          <w:lang w:eastAsia="pt-BR"/>
        </w:rPr>
        <w:t>As metas e prioridades para o exercício financeiro de 2018 estão estruturadas de acordo com o Plano Plurianual para 2018/2021 - Lei n</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snapToGrid w:val="0"/>
          <w:lang w:eastAsia="pt-BR"/>
        </w:rPr>
        <w:t>, de            e suas alterações, especificadas no Anexo III, integrante desta Lei, as quais terão precedência na alocação de recursos na Lei Orçamentária.</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lang w:eastAsia="pt-BR"/>
        </w:rPr>
        <w:lastRenderedPageBreak/>
        <w:t>§ 1</w:t>
      </w:r>
      <w:r w:rsidRPr="00273032">
        <w:rPr>
          <w:rFonts w:ascii="Palatino Linotype" w:eastAsia="Times New Roman" w:hAnsi="Palatino Linotype" w:cs="Arial"/>
          <w:color w:val="000000"/>
          <w:lang w:eastAsia="pt-BR"/>
        </w:rPr>
        <w:t xml:space="preserve">º </w:t>
      </w:r>
      <w:r w:rsidRPr="00273032">
        <w:rPr>
          <w:rFonts w:ascii="Palatino Linotype" w:eastAsia="Times New Roman" w:hAnsi="Palatino Linotype" w:cs="Arial"/>
          <w:lang w:eastAsia="pt-BR"/>
        </w:rPr>
        <w:t>Os valores constantes no Anexo de que trata este artigo possuem caráter indicativo e não normativo, devendo servir de referência para o planejamento, podendo ser atualizados pela lei orçamentária ou através de créditos adicionais.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w:t>
      </w:r>
      <w:r w:rsidRPr="00273032">
        <w:rPr>
          <w:rFonts w:ascii="Palatino Linotype" w:eastAsia="Times New Roman" w:hAnsi="Palatino Linotype" w:cs="Arial"/>
          <w:color w:val="000000"/>
          <w:lang w:eastAsia="pt-BR"/>
        </w:rPr>
        <w:t xml:space="preserve">º </w:t>
      </w:r>
      <w:r w:rsidRPr="00273032">
        <w:rPr>
          <w:rFonts w:ascii="Palatino Linotype" w:eastAsia="Times New Roman" w:hAnsi="Palatino Linotype" w:cs="Arial"/>
          <w:lang w:eastAsia="pt-BR"/>
        </w:rPr>
        <w:t xml:space="preserve">As metas e prioridades de que trata o </w:t>
      </w:r>
      <w:r w:rsidRPr="00273032">
        <w:rPr>
          <w:rFonts w:ascii="Palatino Linotype" w:eastAsia="Times New Roman" w:hAnsi="Palatino Linotype" w:cs="Arial"/>
          <w:i/>
          <w:lang w:eastAsia="pt-BR"/>
        </w:rPr>
        <w:t xml:space="preserve">caput </w:t>
      </w:r>
      <w:r w:rsidRPr="00273032">
        <w:rPr>
          <w:rFonts w:ascii="Palatino Linotype" w:eastAsia="Times New Roman" w:hAnsi="Palatino Linotype" w:cs="Arial"/>
          <w:lang w:eastAsia="pt-BR"/>
        </w:rPr>
        <w:t>deste artigo, bem como as respectivas ações planejadas para o seu atingimento,  poderão ser alteradas, se durante o período decorrido entre a apresentação desta Lei e a elaboração da proposta orçamentária para 2018 surgirem novas demandas ou situações em que haja necessidade da intervenção do Poder Público, ou em decorrência de créditos adicionais ocorridos.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w:t>
      </w:r>
      <w:r w:rsidRPr="00273032">
        <w:rPr>
          <w:rFonts w:ascii="Palatino Linotype" w:eastAsia="Times New Roman" w:hAnsi="Palatino Linotype" w:cs="Arial"/>
          <w:color w:val="000000"/>
          <w:lang w:eastAsia="pt-BR"/>
        </w:rPr>
        <w:t xml:space="preserve">º </w:t>
      </w:r>
      <w:r w:rsidRPr="00273032">
        <w:rPr>
          <w:rFonts w:ascii="Palatino Linotype" w:eastAsia="Times New Roman" w:hAnsi="Palatino Linotype" w:cs="Arial"/>
          <w:lang w:eastAsia="pt-BR"/>
        </w:rPr>
        <w:t>Na hipótese prevista no §2</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as alterações do Anexo de Metas e Prioridades serão evidenciadas em demonstrativo específico, a ser encaminhado juntamente com a proposta orçamentária para o próximo exercício.</w:t>
      </w:r>
      <w:bookmarkStart w:id="4" w:name="_Toc484165649"/>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Capítulo IV - Da Estrutura e Organização do Orçamento</w:t>
      </w:r>
      <w:bookmarkEnd w:id="4"/>
    </w:p>
    <w:p w:rsidR="00273032" w:rsidRPr="00273032" w:rsidRDefault="00273032" w:rsidP="00273032">
      <w:pPr>
        <w:spacing w:after="0" w:line="240" w:lineRule="auto"/>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5º</w:t>
      </w:r>
      <w:r w:rsidRPr="00273032">
        <w:rPr>
          <w:rFonts w:ascii="Palatino Linotype" w:eastAsia="Times New Roman" w:hAnsi="Palatino Linotype" w:cs="Arial"/>
          <w:lang w:eastAsia="pt-BR"/>
        </w:rPr>
        <w:t xml:space="preserve"> Para efeito desta Lei, entende-se por: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Programa: instrumento de organização da ação governamental visando à concretização dos objetivos pretendidos, mensurados por indicadores, conforme estabelecido no plano plurianual;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Atividade: instrumento de programação para alcançar o objetivo de um programa, envolvendo um conjunto de operações que se realizam de modo contínuo e permanente, das quais resulta um produto necessário à manutenção da ação de governo;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Projeto: instrumento de programação para alcançar o objetivo de um programa, envolvendo um conjunto de operações, limitadas no tempo, das quais resulta um produto que concorre para a expansão ou aperfeiçoamento da ação de governo;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Operação Especial: despesas que não contribuem para a manutenção das ações de governo, das quais não resulta um produto, e não geram contraprestação direta sob a forma de bens ou serviços;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 - Órgão Orçamentário: o maior nível da classificação institucional, que tem por finalidade agrupar unidades orçamentárias.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 - Unidade Orçamentária: o menor nível da classificação institucional;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§2º Cada atividade, projeto ou operação especial identificará a função e a</w:t>
      </w:r>
      <w:r w:rsidR="0039043F">
        <w:rPr>
          <w:rFonts w:ascii="Palatino Linotype" w:eastAsia="Times New Roman" w:hAnsi="Palatino Linotype" w:cs="Arial"/>
          <w:lang w:eastAsia="pt-BR"/>
        </w:rPr>
        <w:t xml:space="preserve"> </w:t>
      </w:r>
      <w:proofErr w:type="spellStart"/>
      <w:r w:rsidR="0039043F">
        <w:rPr>
          <w:rFonts w:ascii="Palatino Linotype" w:eastAsia="Times New Roman" w:hAnsi="Palatino Linotype" w:cs="Arial"/>
          <w:lang w:eastAsia="pt-BR"/>
        </w:rPr>
        <w:t>subfunção</w:t>
      </w:r>
      <w:proofErr w:type="spellEnd"/>
      <w:r w:rsidR="0039043F">
        <w:rPr>
          <w:rFonts w:ascii="Palatino Linotype" w:eastAsia="Times New Roman" w:hAnsi="Palatino Linotype" w:cs="Arial"/>
          <w:lang w:eastAsia="pt-BR"/>
        </w:rPr>
        <w:t xml:space="preserve"> às quais se vincula,</w:t>
      </w:r>
      <w:r w:rsidRPr="00273032">
        <w:rPr>
          <w:rFonts w:ascii="Palatino Linotype" w:eastAsia="Times New Roman" w:hAnsi="Palatino Linotype" w:cs="Arial"/>
          <w:lang w:eastAsia="pt-BR"/>
        </w:rPr>
        <w:t xml:space="preserve"> de acordo com a Portaria MOG nº 42/1999 e suas atualizações.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§3º A classificação das unidades orçamentárias atenderá, no que couber, ao disposto no art. 14 da Lei Federal nº 4.320/64.</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§4º As operações especiais relacionadas ao pagamento de encargos gerais do Município, serão consignadas em unidade orçamentária específica.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6º</w:t>
      </w:r>
      <w:r w:rsidRPr="00273032">
        <w:rPr>
          <w:rFonts w:ascii="Palatino Linotype" w:eastAsia="Times New Roman" w:hAnsi="Palatino Linotype" w:cs="Arial"/>
          <w:lang w:eastAsia="pt-BR"/>
        </w:rPr>
        <w:t xml:space="preserve"> Independentemente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Orçamentos Fiscal e da Seguridade Social.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As operações entre órgãos, fundos e entidades previstas nos Orçamentos Fiscal e da Seguridade Social serão executadas obrigatoriamente por meio de empenho, liquidação e pagamento, nos termos da Lei Federal nº 4.320/64, utilizando-se a modalidade de aplicação 91 – Aplicação Direta Decorrente de Operação entre Órgãos, Fundos e Entidades Integrantes do Orçamento Fiscal e do Orçamento da Seguridade Social.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7º</w:t>
      </w:r>
      <w:r w:rsidRPr="00273032">
        <w:rPr>
          <w:rFonts w:ascii="Palatino Linotype" w:eastAsia="Times New Roman" w:hAnsi="Palatino Linotype" w:cs="Arial"/>
          <w:lang w:eastAsia="pt-BR"/>
        </w:rPr>
        <w:t xml:space="preserve"> Os orçamentos fiscal e da seguridade social discriminarão a despesa por elementos de despesa, na forma do art. 15, § 1º, da Lei Federal nº 4.320/64.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8º</w:t>
      </w:r>
      <w:r w:rsidRPr="00273032">
        <w:rPr>
          <w:rFonts w:ascii="Palatino Linotype" w:eastAsia="Times New Roman" w:hAnsi="Palatino Linotype" w:cs="Arial"/>
          <w:lang w:eastAsia="pt-BR"/>
        </w:rPr>
        <w:t xml:space="preserve"> O Projeto de Lei Orçamentária Anual será encaminhado ao Poder Legislativo, conforme estabelecido no § 5º do art. 165 da Constituição Federal,  Lei Orgânica do Município e no art. 2º, da Lei Federal nº 4.320/64, e será composto 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texto da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consolidação dos quadros orçamentários;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Integrarão a consolidação dos quadros orçamentários a que se refere o inciso II, incluindo os complementos referenciados no art. 22, inciso III, da Lei Federal nº 4.320/64, os seguintes quadros: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discriminação da legislação básica da receita e da despesa dos orçamentos fiscal e da seguridade social;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demonstrativo da evolução da receita, por origem de arrecadação, em atendimento ao disposto no art. 12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demonstrativo da estimativa e compensação da renúncia de receita e da margem de expansão das despesas obrigatórias de caráter continuado, de acordo com o art. 5º, inciso II,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demonstrativo das receitas por origem e das despesas por grupo de natureza de despesa dos orçamentos fiscal e da seguridade social, conforme art. 165, § 5º, III, da Constituição Federal;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V - demonstrativo da receita e planos de aplicação dos Fundos Especiais, que obedecerá ao disposto no inciso I do § 2º do art. 2º da Lei Federal nº 4.320/64;</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 – demonstrativo de compatibilidade da programação do orçamento com as metas fiscais estabelecidas na Lei de Diretrizes Orçamentárias, de acordo com o art. 5º, inciso I,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demonstrativo da fixação da despesa com pessoal e encargos sociais, para os Poderes Executivo e Legislativo, confrontando a sua totalização com a receita corrente líquida prevista, nos termos dos artigos 19 e 20 da LC nº 101/2000, acompanhado da memória de cálculo;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VIII - demonstrativo da previsão das aplicações de recursos na Manutenção e Desenvolvimento do Ensino (MDE) e do Fundo de Manutenção e Desenvolvimento da Educação Básica e de Valorização dos Profissionais da Educação (FUNDEB);</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IX - demonstrativo da previsão da aplicação anual do Município em Ações e Serviços Públicos de Saúde (ASPS), conforme a Lei Complementar nº 141, de 13 de janeiro de 2012;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X - demonstrativo das categorias de programação a serem financiadas com recursos de operações de crédito realizadas e a realizar, com indicação da dotação e do orçamento a que pertencem;</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XI - demonstrativo do cálculo do limite máximo de despesa para a Câmara Municipal, conforme o artigo 29-A da Constituição Federal, de acordo com a metodologia prevista no §2º do art. 13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9º</w:t>
      </w:r>
      <w:r w:rsidRPr="00273032">
        <w:rPr>
          <w:rFonts w:ascii="Palatino Linotype" w:eastAsia="Times New Roman" w:hAnsi="Palatino Linotype" w:cs="Arial"/>
          <w:lang w:eastAsia="pt-BR"/>
        </w:rPr>
        <w:t xml:space="preserve"> A mensagem que encaminhar o projeto de lei orçamentária anual conterá:</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relato sucinto da situação econômica e financeira do Município e projeções para o exercício de 2018, com destaque, se for o caso, para o comprometimento da receita com o pagamento da dívida;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resumo da política econômica e social do Governo;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justificativa da estimativa e da fixação, respectivamente, da receita e da despesa e dos seus principais agregados, conforme dispõe o inciso I do art. 22 da Lei Federal nº 4.320, de 1964;</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memória de cálculo da receita e premissas utilizadas;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 - demonstrativo da dívida fundada, assim como da evolução do estoque da dívida pública, dos últimos três anos, a situação provável no final de 2017 e a previsão para o exercício de 2018;</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5" w:name="_Toc484165650"/>
      <w:r w:rsidRPr="00273032">
        <w:rPr>
          <w:rFonts w:ascii="Palatino Linotype" w:eastAsia="Times New Roman" w:hAnsi="Palatino Linotype" w:cs="Arial"/>
          <w:b/>
          <w:bCs/>
          <w:lang w:eastAsia="pt-BR"/>
        </w:rPr>
        <w:t xml:space="preserve">Capítulo V - Das Diretrizes para Elaboração e Execução do Orçamento </w:t>
      </w: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e suas Alterações</w:t>
      </w:r>
      <w:bookmarkEnd w:id="5"/>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6" w:name="_Toc484165651"/>
      <w:r w:rsidRPr="00273032">
        <w:rPr>
          <w:rFonts w:ascii="Palatino Linotype" w:eastAsia="Times New Roman" w:hAnsi="Palatino Linotype" w:cs="Arial"/>
          <w:b/>
          <w:bCs/>
          <w:lang w:eastAsia="pt-BR"/>
        </w:rPr>
        <w:lastRenderedPageBreak/>
        <w:t>Seção I - Das Diretrizes Gerais</w:t>
      </w:r>
      <w:bookmarkEnd w:id="6"/>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10.</w:t>
      </w:r>
      <w:r w:rsidRPr="00273032">
        <w:rPr>
          <w:rFonts w:ascii="Palatino Linotype" w:eastAsia="Times New Roman" w:hAnsi="Palatino Linotype" w:cs="Arial"/>
          <w:lang w:eastAsia="pt-BR"/>
        </w:rPr>
        <w:t xml:space="preserve"> Os orçamentos fiscais e da seguridade social compreenderão o conjunto das receitas públicas, bem como das despesas do Poder Legislativo e do Poder Executivo, neste abrangidos seus respectivos fundos, órgãos e entidades da Administração Direta e Indireta, inclusive Fundações instituídas e mantidas pelo Poder Público, bem como as empresas e sociedades de economia mista em que o Município detenha, direta ou indiretamente, a maioria do capital social com direito a voto e que dele </w:t>
      </w:r>
      <w:r w:rsidRPr="00273032">
        <w:rPr>
          <w:rFonts w:ascii="Palatino Linotype" w:eastAsia="Times New Roman" w:hAnsi="Palatino Linotype" w:cs="Arial"/>
          <w:lang w:val="pt-PT" w:eastAsia="pt-BR"/>
        </w:rPr>
        <w:t xml:space="preserve">recebam recursos.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w:t>
      </w: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Os órgãos da Administração Indireta e o Poder Legislativo encaminharão à Secretaria de Finanças, até 30 de outubro de 2017, suas respectivas propostas orçamentárias, para fins de consolidação do Projeto de Lei Orçamentária de 2018, observadas as disposições desta Lei.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11.</w:t>
      </w:r>
      <w:r w:rsidRPr="00273032">
        <w:rPr>
          <w:rFonts w:ascii="Palatino Linotype" w:eastAsia="Times New Roman" w:hAnsi="Palatino Linotype" w:cs="Arial"/>
          <w:lang w:eastAsia="pt-BR"/>
        </w:rPr>
        <w:t xml:space="preserve"> A elaboração e a aprovação do Orçamento para o exercício de 2018 e a sua execução obedecerão, entre outros, ao princípio da publicidade, promovendo-se a transparência da gestão fiscal e permitindo-se o amplo acesso da sociedade a todas as informações relativas a cada uma dessas etapas.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Para fins de atendimento ao disposto no art. 48, § 1º, I,  da LC nº 101/2000, o Poder Executivo organizará audiência(s) pública(s) a fim de assegurar aos cidadãos a participação na seleção das prioridades de investimentos, que terão recursos consignados no orçamento.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A Câmara Municipal organizará audiência(s) pública(s) para discussão da proposta orçamentária durante o processo de sua apreciação e aprovação.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12.</w:t>
      </w:r>
      <w:r w:rsidRPr="00273032">
        <w:rPr>
          <w:rFonts w:ascii="Palatino Linotype" w:eastAsia="Times New Roman" w:hAnsi="Palatino Linotype" w:cs="Arial"/>
          <w:lang w:eastAsia="pt-BR"/>
        </w:rPr>
        <w:t xml:space="preserve"> Os Fundos Municipais constituirão unidade orçamentária específica, e terão suas Receitas vinculadas a Despesas relacionadas com seus objetivos, identificadas em Planos de Aplicação, representados nas Planilhas de Despesas referidas no art. 8º, § 1º, inciso V, desta Lei.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A administração dos Fundos Municipais será efetivada pelo Chefe do Poder Executivo, podendo, por ato formal deste, e observada a respectiva legislação pertinente, ser delegada a Secretários, servidores municipais ou comissão de servidores.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13.</w:t>
      </w:r>
      <w:r w:rsidRPr="00273032">
        <w:rPr>
          <w:rFonts w:ascii="Palatino Linotype" w:eastAsia="Times New Roman" w:hAnsi="Palatino Linotype" w:cs="Arial"/>
          <w:lang w:eastAsia="pt-BR"/>
        </w:rPr>
        <w:t xml:space="preserve">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2018.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 xml:space="preserve">§ 1º Até 30 dias antes do encaminhamento da Proposta Orçamentária ao Poder Legislativo, o Poder Executivo Municipal colocará à disposição da Câmara Municipal os estudos e as estimativas de receitas para o exercício de 2018, inclusive da receita corrente líquida, e as respectivas memórias de cálculo.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Para fins do limite das despesas do Poder Legislativo, nos termos do art. 29-A da Constituição Federal e da metodologia de cálculo estabelecida pela Instrução Normativa nº 19/2016 do Tribunal de Contas do Estado, considerar-se-á a receita arrecadada até o último mês anterior ao prazo para a entrega da proposta orçamentária, acrescida da tendência de arrecadação até o final do exercício.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Art.14.</w:t>
      </w:r>
      <w:r w:rsidRPr="00273032">
        <w:rPr>
          <w:rFonts w:ascii="Palatino Linotype" w:eastAsia="Times New Roman" w:hAnsi="Palatino Linotype" w:cs="Arial"/>
          <w:lang w:eastAsia="pt-BR"/>
        </w:rPr>
        <w:t xml:space="preserve"> Constarão no projeto de lei orçamentária reservas de contingência, desdobradas para atender às seguintes finalidades: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atender passivos contingentes e outros riscos e eventos fiscais imprevistos relacionados no Anexo de que trata o art. 3º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cobertura de créditos adicionais;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atender ao disposto no art. 58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A reserva de contingência, de que trata o inciso I do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será fixada em, no mínimo, 1 % (um por cento) da receita corrente líquida, e sua utilização dar-se-á mediante créditos adicionais abertos à sua conta.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Na hipótese de ficar demonstrado que as reservas de contingência constituídas na forma dos incisos I e III do caput não precisarão ser utilizadas para sua finalidade, no todo ou em parte, o Chefe do Executivo poderá utilizar seu saldo para dar cobertura a outros créditos adicionais, legalmente autorizados na forma dos artigos 41, 42 e 43 da Lei Federal nº 4.320/1964.</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15.</w:t>
      </w:r>
      <w:r w:rsidRPr="00273032">
        <w:rPr>
          <w:rFonts w:ascii="Palatino Linotype" w:eastAsia="Times New Roman" w:hAnsi="Palatino Linotype" w:cs="Arial"/>
          <w:lang w:eastAsia="pt-BR"/>
        </w:rPr>
        <w:t xml:space="preserve"> Observado o disposto no art. 45 da Lei Complementar nº 101, de 2000, somente serão incluídos novos projetos na Lei Orçamentária de 2018 se: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tiverem sido adequada e suficientemente contempladas as despesas para conservação do patrimônio público e para os projetos em andamento, constantes do Anexo IV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a ação estiver compatível com o Plano Plurianual.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O disposto neste artigo não se aplica às despesas programadas com recursos de transferências voluntárias e operações de crédito, cuja execução fica limitada à respectiva disponibilidade orçamentária e financeira.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16.</w:t>
      </w:r>
      <w:r w:rsidRPr="00273032">
        <w:rPr>
          <w:rFonts w:ascii="Palatino Linotype" w:eastAsia="Times New Roman" w:hAnsi="Palatino Linotype" w:cs="Arial"/>
          <w:lang w:eastAsia="pt-BR"/>
        </w:rPr>
        <w:t xml:space="preserve"> Os procedimentos administrativos de estimativa do impacto orçamentário-financeiro e declaração do ordenador da despesa de que trata o art. 16, I e II, da LC nº 101/2000, quando for o caso, deverão ser inseridos no processo que abriga os autos da licitação ou de sua dispensa/inexigibilidade.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Para efeito do disposto no art. 16, § 3º, da LC nº 101/2000, serão consideradas despesas irrelevantes aquelas decorrentes da criação, expansão ou aperfeiçoamento da ação governamental que acarrete aumento da despesa, cujo montante no exercício financeiro de 2018, em cada evento, não exceda aos valores limites para dispensa de licitação fixados nos incisos I e II do art. 24 da Lei nº 8.666/93, conforme o caso.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No caso de despesas com pessoal e respectivos encargos, desde que não configurem geração de despesa obrigatória de caráter continuado, serão consideradas irrelevantes aquelas cujo montante, no exercício de 2018, em cada evento, não exceda a 10(dez) vezes o menor padrão de vencimentos.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17.</w:t>
      </w:r>
      <w:r w:rsidRPr="00273032">
        <w:rPr>
          <w:rFonts w:ascii="Palatino Linotype" w:eastAsia="Times New Roman" w:hAnsi="Palatino Linotype" w:cs="Arial"/>
          <w:lang w:eastAsia="pt-BR"/>
        </w:rPr>
        <w:t xml:space="preserve"> A compensação de que trata o art. 17, § 2º, da LC n° 101/2000, quando da criação ou aumento de Despesas Obrigatórias de Caráter Continuado, poderá ser realizada a partir do aproveitamento da margem líquida de expansão prevista no inciso V do § 2º do art. 4º, da referida Lei, desde que observados: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o limite das respectivas dotações constantes da Lei Orçamentária de 2018 e de créditos adicionais;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os limites estabelecidos nos </w:t>
      </w:r>
      <w:proofErr w:type="spellStart"/>
      <w:r w:rsidRPr="00273032">
        <w:rPr>
          <w:rFonts w:ascii="Palatino Linotype" w:eastAsia="Times New Roman" w:hAnsi="Palatino Linotype" w:cs="Arial"/>
          <w:lang w:eastAsia="pt-BR"/>
        </w:rPr>
        <w:t>arts</w:t>
      </w:r>
      <w:proofErr w:type="spellEnd"/>
      <w:r w:rsidRPr="00273032">
        <w:rPr>
          <w:rFonts w:ascii="Palatino Linotype" w:eastAsia="Times New Roman" w:hAnsi="Palatino Linotype" w:cs="Arial"/>
          <w:lang w:eastAsia="pt-BR"/>
        </w:rPr>
        <w:t>. 20, inciso III, e 22, parágrafo único, da LC nº 101/2000, no caso da geração de despesas com pessoal e respectivos encargos; 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o valor da margem líquida de expansão constante no demonstrativo de que trata o art. 2º, VIII, dessa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18.</w:t>
      </w:r>
      <w:r w:rsidRPr="00273032">
        <w:rPr>
          <w:rFonts w:ascii="Palatino Linotype" w:eastAsia="Times New Roman" w:hAnsi="Palatino Linotype" w:cs="Arial"/>
          <w:lang w:eastAsia="pt-BR"/>
        </w:rPr>
        <w:t xml:space="preserve">  O controle de custos das ações desenvolvidas pelo Poder Público Municipal de que trata o art. 50, § 3º, da LC nº 101/2000, deverá, no mínimo, evidenciar, em relatórios anuais os gastos das obras e dos serviços públicos, tais como: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dos programas finalísticos e respectivas ações previsto no Plano Plurianual;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do m² das construções e do m² das pavimentações;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do custo aluno/ano da educação infantil e do ensino fundamental, do custo aluno/ano do transporte escolar e do custo aluno/ano com merenda escolar;</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do custo da destinação final da tonelada de lixo;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 - do custo do atendimento nas unidades de saúde, entre outros.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 xml:space="preserve">§ 1º O controle de custos de que trata 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será orientado para o estabelecimento da relação entre a despesa pública e o resultado obtido, de forma a priorizar a análise da eficiência na alocação dos recursos, permitindo o acompanhamento das gestões orçamentária, financeira e patrimonial.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Os custos serão apurados e avaliados através das operações orçamentárias, tomando-se por base, a comparação entre as despesas autorizadas e liquidadas, bem como a comparação entre as metas físicas previstas e as realizadas.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3º Os relatórios referidos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deverão ser disponibilizados em meio eletrônico de acesso ao público, em até 15(quinze) dias contados da data de sua emissão.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19.</w:t>
      </w:r>
      <w:r w:rsidRPr="00273032">
        <w:rPr>
          <w:rFonts w:ascii="Palatino Linotype" w:eastAsia="Times New Roman" w:hAnsi="Palatino Linotype" w:cs="Arial"/>
          <w:lang w:eastAsia="pt-BR"/>
        </w:rPr>
        <w:t xml:space="preserve"> As metas fiscais estabelecidas no demonstrativo de que trata o inciso I do art. 2º serão desdobradas em metas quadrimestrais para fins de avaliação em audiência pública na Câmara Municipal até o final dos meses de maio, setembro e fevereiro, de modo a acompanhar o cumprimento dos seus objetivos, corrigir desvios, avaliar os gastos e também o cumprimento das metas físicas estabelecidas.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Para fins de realização da audiência pública prevista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e em conformidade com o art. 9º, § 4º, da LC nº 101/2000, o Poder Executivo encaminhará ao Poder Legislativo, até 02(dois) dias antes da audiência, relatório de avaliação do cumprimento das metas fiscais, com as justificativas de eventuais desvios e indicação das medidas corretivas adotadas.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2º Compete ao Poder Legislativo Municipal, mediante prévio agendamento com o Poder Executivo, convocar e coordenar a realização das audiências públicas referidas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w:t>
      </w: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7" w:name="_Toc484165652"/>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Seção II - Das Diretrizes Específicas do Orçamento da Seguridade Social</w:t>
      </w:r>
      <w:bookmarkEnd w:id="7"/>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rPr>
          <w:rFonts w:ascii="Palatino Linotype" w:eastAsia="Times New Roman" w:hAnsi="Palatino Linotype" w:cs="Arial"/>
          <w:lang w:eastAsia="pt-BR"/>
        </w:rPr>
      </w:pPr>
      <w:r w:rsidRPr="00273032">
        <w:rPr>
          <w:rFonts w:ascii="Palatino Linotype" w:eastAsia="Times New Roman" w:hAnsi="Palatino Linotype" w:cs="Arial"/>
          <w:b/>
          <w:lang w:eastAsia="pt-BR"/>
        </w:rPr>
        <w:t>Art. 20.</w:t>
      </w:r>
      <w:r w:rsidRPr="00273032">
        <w:rPr>
          <w:rFonts w:ascii="Palatino Linotype" w:eastAsia="Times New Roman" w:hAnsi="Palatino Linotype" w:cs="Arial"/>
          <w:lang w:eastAsia="pt-BR"/>
        </w:rPr>
        <w:t xml:space="preserve"> O Orçamento da Seguridade Social compreenderá as dotações destinadas a atender às ações de saúde, previdência e assistência social, e contará, entre outros, com recursos provenientes:</w:t>
      </w:r>
    </w:p>
    <w:p w:rsidR="00273032" w:rsidRPr="00273032" w:rsidRDefault="00273032" w:rsidP="00273032">
      <w:pPr>
        <w:spacing w:after="0" w:line="240" w:lineRule="auto"/>
        <w:ind w:firstLine="4253"/>
        <w:rPr>
          <w:rFonts w:ascii="Palatino Linotype" w:eastAsia="Times New Roman" w:hAnsi="Palatino Linotype" w:cs="Arial"/>
          <w:lang w:eastAsia="pt-BR"/>
        </w:rPr>
      </w:pPr>
      <w:r w:rsidRPr="00273032">
        <w:rPr>
          <w:rFonts w:ascii="Palatino Linotype" w:eastAsia="Times New Roman" w:hAnsi="Palatino Linotype" w:cs="Arial"/>
          <w:lang w:eastAsia="pt-BR"/>
        </w:rPr>
        <w:t>I – do produto da arrecadação de impostos e transferências constitucionais vinculados às ações e serviços públicos de saúde, nos termos da Lei Complementar nº 141, de 13 de janeiro de 2012;</w:t>
      </w:r>
    </w:p>
    <w:p w:rsidR="00273032" w:rsidRPr="00273032" w:rsidRDefault="00273032" w:rsidP="00273032">
      <w:pPr>
        <w:spacing w:after="0" w:line="240" w:lineRule="auto"/>
        <w:ind w:firstLine="4253"/>
        <w:rPr>
          <w:rFonts w:ascii="Palatino Linotype" w:eastAsia="Times New Roman" w:hAnsi="Palatino Linotype" w:cs="Arial"/>
          <w:lang w:eastAsia="pt-BR"/>
        </w:rPr>
      </w:pPr>
      <w:r w:rsidRPr="00273032">
        <w:rPr>
          <w:rFonts w:ascii="Palatino Linotype" w:eastAsia="Times New Roman" w:hAnsi="Palatino Linotype" w:cs="Arial"/>
          <w:lang w:eastAsia="pt-BR"/>
        </w:rPr>
        <w:t>II –das contribuições para o Regime Próprio de Previdência Social dos Servidores Municipais, que será utilizada para despesas com encargos previdenciários do Município;</w:t>
      </w:r>
    </w:p>
    <w:p w:rsidR="00273032" w:rsidRPr="00273032" w:rsidRDefault="00273032" w:rsidP="00273032">
      <w:pPr>
        <w:spacing w:after="0" w:line="240" w:lineRule="auto"/>
        <w:ind w:firstLine="4253"/>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III – de aportes financeiros de recursos do Orçamento Fiscal; </w:t>
      </w:r>
    </w:p>
    <w:p w:rsidR="00273032" w:rsidRPr="00273032" w:rsidRDefault="00273032" w:rsidP="00273032">
      <w:pPr>
        <w:spacing w:after="0" w:line="240" w:lineRule="auto"/>
        <w:ind w:firstLine="4253"/>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IV –das demais receitas cujas despesas integram, exclusivamente, o orçamento referido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w:t>
      </w:r>
    </w:p>
    <w:p w:rsidR="00273032" w:rsidRPr="00273032" w:rsidRDefault="00273032" w:rsidP="00273032">
      <w:pPr>
        <w:spacing w:after="0" w:line="240" w:lineRule="auto"/>
        <w:ind w:firstLine="4253"/>
        <w:rPr>
          <w:rFonts w:ascii="Palatino Linotype" w:eastAsia="Times New Roman" w:hAnsi="Palatino Linotype" w:cs="Arial"/>
          <w:lang w:eastAsia="pt-BR"/>
        </w:rPr>
      </w:pPr>
      <w:r w:rsidRPr="00273032">
        <w:rPr>
          <w:rFonts w:ascii="Palatino Linotype" w:eastAsia="Times New Roman" w:hAnsi="Palatino Linotype" w:cs="Arial"/>
          <w:b/>
          <w:lang w:eastAsia="pt-BR"/>
        </w:rPr>
        <w:lastRenderedPageBreak/>
        <w:t>Parágrafo único.</w:t>
      </w:r>
      <w:r w:rsidRPr="00273032">
        <w:rPr>
          <w:rFonts w:ascii="Palatino Linotype" w:eastAsia="Times New Roman" w:hAnsi="Palatino Linotype" w:cs="Arial"/>
          <w:lang w:eastAsia="pt-BR"/>
        </w:rPr>
        <w:t xml:space="preserve"> O orçamento da seguridade social será evidenciado na forma do demonstrativo previsto no art. 8º, § 1º, inciso IV, desta Lei.</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8" w:name="_Toc484165653"/>
      <w:r w:rsidRPr="00273032">
        <w:rPr>
          <w:rFonts w:ascii="Palatino Linotype" w:eastAsia="Times New Roman" w:hAnsi="Palatino Linotype" w:cs="Arial"/>
          <w:b/>
          <w:bCs/>
          <w:lang w:eastAsia="pt-BR"/>
        </w:rPr>
        <w:t xml:space="preserve">Seção III - Das Disposições sobre a Programação e Execução </w:t>
      </w: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Orçamentária e Financeira</w:t>
      </w:r>
      <w:bookmarkEnd w:id="8"/>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21.</w:t>
      </w:r>
      <w:r w:rsidRPr="00273032">
        <w:rPr>
          <w:rFonts w:ascii="Palatino Linotype" w:eastAsia="Times New Roman" w:hAnsi="Palatino Linotype" w:cs="Arial"/>
          <w:lang w:eastAsia="pt-BR"/>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 1º</w:t>
      </w:r>
      <w:r w:rsidRPr="00273032">
        <w:rPr>
          <w:rFonts w:ascii="Palatino Linotype" w:eastAsia="Times New Roman" w:hAnsi="Palatino Linotype" w:cs="Arial"/>
          <w:lang w:eastAsia="pt-BR"/>
        </w:rPr>
        <w:t xml:space="preserve"> O ato referido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 e os que o modificarem conterá:1</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metas quadrimestrais para o resultado primário, que servirão de parâmetro para a avaliação de que trata o art. 9º, § 4º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metas bimestrais de realização de receitas primárias, em atendimento ao disposto no art. 13 da LC nº 101/2000, discriminadas, no mínimo, por origem, identificando-se separadamente, quando cabível, as medidas de combate à evasão e à sonegação fiscal e da cobrança da dívida ativa;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cronograma de desembolso mensal de despesas, por órgão e unidade orçamentária.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22.</w:t>
      </w:r>
      <w:r w:rsidRPr="00273032">
        <w:rPr>
          <w:rFonts w:ascii="Palatino Linotype" w:eastAsia="Times New Roman" w:hAnsi="Palatino Linotype" w:cs="Arial"/>
          <w:lang w:eastAsia="pt-BR"/>
        </w:rPr>
        <w:t xml:space="preserve"> Na execução do orçamento, verificado que o comportamento da receita ordinária poderá afetar o cumprimento das metas de resultados primário e nominal, e observado o disposto no §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contrapartida para projetos ou atividades vinculados a recursos oriundos de fontes extraordinárias, como transferências voluntárias, operações de crédito, alienação de ativos, desde que ainda não comprometidos;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II - obras em geral, cuja fase ou etapa ainda não esteja iniciada;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aquisição de combustíveis e derivados,  destinada à frota de veículos, exceto dos setores de educação e saúde;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IV - dotação para material de consumo e outros serviços de terceiros das diversas atividades;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 - diárias de viagem;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 - festividades, homenagens, recepções e demais eventos da mesma natureza;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despesas com publicidade institucional;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VIII - horas extras.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Na avaliação do cumprimento das metas bimestrais de arrecadação para implementação ou não do mecanismo da limitação de empenho e movimentação financeira, será considerado ainda o resultado financeiro apurado no Balanço Patrimonial do exercício de 2017, observada a vinculação de recursos.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Não serão objeto de limitação de empenho: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despesas relacionadas com vinculações constitucionais e legais, nos termos do § 2º do art. 9º da LC nº 101/2000 e do art. 28 da Lei Complementar Federal n.º 141, de 13 de janeiro de 2012;</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as despesas com o pagamento de precatórios e sentenças judiciais de pequeno valor;</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as despesas fixas e obrigatórias com pessoal e encargos sociais; 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IV - as despesas financiadas com recursos de Transferências Voluntárias da União e do Estado, Operações de Crédito e Alienação de bens, observado o disposto no art. 24 desta Lei.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3º Na hipótese de ocorrência do disposto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 o Poder Executivo comunicará à Câmara Municipal o montante que lhe caberá tornar indisponível para empenho e movimentação financeira.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4º Os Chefes do Poder Executivo e do Poder Legislativo deverão divulgar, em ato próprio, os ajustes processados, que será discriminado, no mínimo, por unidade orçamentária.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5º Ocorrendo o restabelecimento da receita prevista, a recomposição se fará obedecendo ao disposto no art. 9º, § 1º,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6º Na ocorrência de calamidade pública, reconhecida na forma da lei, serão dispensadas a obtenção dos resultados fiscais programados e a limitação de empenho enquanto perdurar essa situação, nos termos do art. 65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lastRenderedPageBreak/>
        <w:t>Art. 23.</w:t>
      </w:r>
      <w:r w:rsidRPr="00273032">
        <w:rPr>
          <w:rFonts w:ascii="Palatino Linotype" w:eastAsia="Times New Roman" w:hAnsi="Palatino Linotype" w:cs="Arial"/>
          <w:lang w:eastAsia="pt-BR"/>
        </w:rPr>
        <w:t xml:space="preserve"> O repasse financeiro da cota destinada ao atendimento das despesas do Poder Legislativo, obedecida a programação financeira, será repassado até o dia 20 de cada mês, mediante depósito em conta bancária específica, indicada pela Mesa Diretora da Câmara Municipal.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Os rendimentos das aplicações financeiras e outros ingressos orçamentários que venham a ser arrecadadas através do Poder Legislativo, serão contabilizados como receita pelo Poder Executivo, tendo como contrapartida o repasse referido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Ao final do exercício financeiro de 2018,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3º O eventual saldo de recursos financeiros que não for devolvido no prazo estabelecido no parágrafo anterior, será devidamente registrado na contabilidade e considerado como antecipação de repasse do exercício financeiro de 2019.</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24.</w:t>
      </w:r>
      <w:r w:rsidRPr="00273032">
        <w:rPr>
          <w:rFonts w:ascii="Palatino Linotype" w:eastAsia="Times New Roman" w:hAnsi="Palatino Linotype" w:cs="Arial"/>
          <w:lang w:eastAsia="pt-BR"/>
        </w:rPr>
        <w:t xml:space="preserve">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2º A execução das Receitas e das Despesas identificará com codificação adequada cada uma das fontes de recursos, de forma a permitir o adequado controle da execução dos recursos mencionados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Art. 25. A despesa não poderá ser realizada se não houver comprovada e suficiente disponibilidade de dotação orçamentária para atendê-la, sendo vedada a adoção de qualquer procedimento que viabilize a sua realização sem observar a referida disponibilidade.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A contabilidade registrará todos os atos e os fatos relativos à gestão orçamentário-financeira, independentemente de sua legalidade, sem prejuízo das responsabilidades e demais consequências advindas da inobservância do disposto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 2º A realização de atos de gestão orçamentária, financeira e patrimonial, após 31 de dezembro de 2018, relativos ao exercício findo, não será permitida, exceto ajustes para fins de elaboração das demonstrações contábeis, os quais deverão ocorrer até o trigésimo dia de seu encerramento.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26.</w:t>
      </w:r>
      <w:r w:rsidRPr="00273032">
        <w:rPr>
          <w:rFonts w:ascii="Palatino Linotype" w:eastAsia="Times New Roman" w:hAnsi="Palatino Linotype" w:cs="Arial"/>
          <w:lang w:eastAsia="pt-BR"/>
        </w:rPr>
        <w:t xml:space="preserve"> Para efeito do disposto no § 1º do art. 1º e do art. 42 da LC nº 101/2000, considera-se contraída a obrigação, e exigível o empenho da despesa correspondente, no momento da formalização do contrato administrativo ou instrumento congênere.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No caso de despesas relativas à obras e prestação de serviços, consideram-se compromissadas apenas as prestações cujos pagamentos devam ser realizados no exercício financeiro, observado o cronograma pactuado.</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9" w:name="_Toc484165654"/>
      <w:r w:rsidRPr="00273032">
        <w:rPr>
          <w:rFonts w:ascii="Palatino Linotype" w:eastAsia="Times New Roman" w:hAnsi="Palatino Linotype" w:cs="Arial"/>
          <w:b/>
          <w:bCs/>
          <w:lang w:eastAsia="pt-BR"/>
        </w:rPr>
        <w:t>Seção IV - Das Diretrizes sobre Alterações da Lei Orçamentária</w:t>
      </w:r>
      <w:bookmarkEnd w:id="9"/>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27.</w:t>
      </w:r>
      <w:r w:rsidRPr="00273032">
        <w:rPr>
          <w:rFonts w:ascii="Palatino Linotype" w:eastAsia="Times New Roman" w:hAnsi="Palatino Linotype" w:cs="Arial"/>
          <w:lang w:eastAsia="pt-BR"/>
        </w:rPr>
        <w:t xml:space="preserve"> A abertura de créditos suplementares e especiais dependerá da existência de recursos disponíveis para a despesa, nos termos da Lei Federal nº 4.320/64.</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A apuração do excesso de arrecadação de que trata o art. 43, § 3º, da Lei Federal nº 4.320/64, será realizada por fonte de recursos para fins de abertura de créditos adicionais, conforme exigência contida no art. 8º, parágrafo único,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Os recursos alocados na Lei Orçamentária de 2018 para pagamento de precatórios somente poderão ser cancelados para a abertura de créditos suplementares ou especiais para finalidades diversas mediante autorização legislativa específica.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4º Nos casos de abertura de créditos adicionais à conta de superávit financeiro, as exposições de motivos conterão informações relativas 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superávit financeiro do exercício de 2017, por fonte de recursos;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créditos especiais e extraordinários reabertos no exercício de 2018;</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III - valores já utilizados em créditos adicionais, abertos ou em tramitação;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IV – saldo atualizado do superávit financeiro disponível, por fonte de recursos.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5º Considera-se superávit financeiro do exercício anterior, para fins do § 2º do art. 43 da Lei Federal nº 4.320/64, os recursos que forem disponibilizados a partir do cancelamento de restos a pagar durante o exercício de 2018, obedecida a fonte de recursos correspondente.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6º Os projetos de lei relativos a créditos suplementares ou especiais solicitados pelo Poder Legislativo, com indicação de recursos de redução de dotações do próprio poder, serão encaminhados à Câmara Municipal no prazo de até 05(cinco) dias, a contar do recebimento da solicitação.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7º As solicitações de que trata o §6º serão acompanhadas da exposição de motivos de que trata o § 2º deste artigo.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28.</w:t>
      </w:r>
      <w:r w:rsidRPr="00273032">
        <w:rPr>
          <w:rFonts w:ascii="Palatino Linotype" w:eastAsia="Times New Roman" w:hAnsi="Palatino Linotype" w:cs="Arial"/>
          <w:lang w:eastAsia="pt-BR"/>
        </w:rPr>
        <w:t xml:space="preserve"> No âmbito do Poder Legislativo, a abertura de créditos suplementares autorizados na Lei Orçamentária de 2018, com indicação de recursos compensatórios do próprio órgão, nos termos do art. 43, § 1º, inciso III, da Lei Federal nº 4.320/1964, proceder-se-á por ato do Presidente da Câmara dos Vereadores.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29.</w:t>
      </w:r>
      <w:r w:rsidRPr="00273032">
        <w:rPr>
          <w:rFonts w:ascii="Palatino Linotype" w:eastAsia="Times New Roman" w:hAnsi="Palatino Linotype" w:cs="Arial"/>
          <w:lang w:eastAsia="pt-BR"/>
        </w:rPr>
        <w:t xml:space="preserve"> A reabertura dos créditos especiais e extraordinários, conforme disposto no art. 167, § 2º, da Constituição Federal, será efetivada, quando necessária, até 31 de dezembro de 2018.</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30.</w:t>
      </w:r>
      <w:r w:rsidRPr="00273032">
        <w:rPr>
          <w:rFonts w:ascii="Palatino Linotype" w:eastAsia="Times New Roman" w:hAnsi="Palatino Linotype" w:cs="Arial"/>
          <w:lang w:eastAsia="pt-BR"/>
        </w:rPr>
        <w:t xml:space="preserve"> O Poder Executivo poderá, mediante Decreto, transpor, remanejar, transferir ou utilizar, total ou parcialmente, as dotações orçamentárias aprovadas na Lei Orçamentária de 2018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6º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Parágrafo único. A transposição, transferência ou remanejamento não poderá resultar em alteração dos valores das programações aprovadas na Lei Orçamentária ou em créditos adicionais, podendo haver, excepcionalmente, ajuste na classificação funcional.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31.</w:t>
      </w:r>
      <w:r w:rsidRPr="00273032">
        <w:rPr>
          <w:rFonts w:ascii="Palatino Linotype" w:eastAsia="Times New Roman" w:hAnsi="Palatino Linotype" w:cs="Arial"/>
          <w:lang w:eastAsia="pt-BR"/>
        </w:rPr>
        <w:t xml:space="preserve">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10" w:name="_Toc484165655"/>
      <w:r w:rsidRPr="00273032">
        <w:rPr>
          <w:rFonts w:ascii="Palatino Linotype" w:eastAsia="Times New Roman" w:hAnsi="Palatino Linotype" w:cs="Arial"/>
          <w:b/>
          <w:bCs/>
          <w:lang w:eastAsia="pt-BR"/>
        </w:rPr>
        <w:t>Seção V - Da Destinação de Recursos Públicos a Pessoas Físicas e Jurídicas</w:t>
      </w:r>
      <w:bookmarkEnd w:id="10"/>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Subseção I - Das Subvenções Econômicas</w:t>
      </w:r>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32.</w:t>
      </w:r>
      <w:r w:rsidRPr="00273032">
        <w:rPr>
          <w:rFonts w:ascii="Palatino Linotype" w:eastAsia="Times New Roman" w:hAnsi="Palatino Linotype" w:cs="Arial"/>
          <w:lang w:eastAsia="pt-BR"/>
        </w:rPr>
        <w:t xml:space="preserve">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Em atendimento ao disposto no art. 19 da Lei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4.320/1964, a destinação de recursos às entidades privadas com fins lucrativos de que trata 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somente poderá ocorrer por meio de subvenções econômicas, sendo vedada a transferência a título de contribuições ou auxílios para despesas de capital.</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lang w:eastAsia="pt-BR"/>
        </w:rPr>
        <w:t>§ 2</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As transferências a entidades privadas com fins lucrativos de que trata o “caput” deste artigo, serão executadas </w:t>
      </w:r>
      <w:r w:rsidRPr="00273032">
        <w:rPr>
          <w:rFonts w:ascii="Palatino Linotype" w:eastAsia="Times New Roman" w:hAnsi="Palatino Linotype" w:cs="Arial"/>
          <w:snapToGrid w:val="0"/>
          <w:lang w:eastAsia="pt-BR"/>
        </w:rPr>
        <w:t>na modalidade de aplicação “60 – Transferências a Instituições Privadas com fins lucrativos” e no elemento de despesa “45 – Subvenções Econômicas”.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snapToGrid w:val="0"/>
          <w:lang w:eastAsia="pt-BR"/>
        </w:rPr>
        <w:t>Art. 33.</w:t>
      </w:r>
      <w:r w:rsidRPr="00273032">
        <w:rPr>
          <w:rFonts w:ascii="Palatino Linotype" w:eastAsia="Times New Roman" w:hAnsi="Palatino Linotype" w:cs="Arial"/>
          <w:snapToGrid w:val="0"/>
          <w:lang w:eastAsia="pt-BR"/>
        </w:rPr>
        <w:t xml:space="preserve"> </w:t>
      </w:r>
      <w:r w:rsidRPr="00273032">
        <w:rPr>
          <w:rFonts w:ascii="Palatino Linotype" w:eastAsia="Times New Roman" w:hAnsi="Palatino Linotype" w:cs="Arial"/>
          <w:lang w:eastAsia="pt-BR"/>
        </w:rPr>
        <w:t>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Subseção II - Das Subvenções Sociais</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34.</w:t>
      </w:r>
      <w:r w:rsidRPr="00273032">
        <w:rPr>
          <w:rFonts w:ascii="Palatino Linotype" w:eastAsia="Times New Roman" w:hAnsi="Palatino Linotype" w:cs="Arial"/>
          <w:lang w:eastAsia="pt-BR"/>
        </w:rPr>
        <w:t xml:space="preserve"> A transferência de recursos a título de subvenções sociais, nos termos dos </w:t>
      </w:r>
      <w:proofErr w:type="spellStart"/>
      <w:r w:rsidRPr="00273032">
        <w:rPr>
          <w:rFonts w:ascii="Palatino Linotype" w:eastAsia="Times New Roman" w:hAnsi="Palatino Linotype" w:cs="Arial"/>
          <w:lang w:eastAsia="pt-BR"/>
        </w:rPr>
        <w:t>arts</w:t>
      </w:r>
      <w:proofErr w:type="spellEnd"/>
      <w:r w:rsidRPr="00273032">
        <w:rPr>
          <w:rFonts w:ascii="Palatino Linotype" w:eastAsia="Times New Roman" w:hAnsi="Palatino Linotype" w:cs="Arial"/>
          <w:lang w:eastAsia="pt-BR"/>
        </w:rPr>
        <w:t>. 12, § 3º, I, 16 e 17 da Lei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4.320/1964, atenderá às entidades privadas sem fins lucrativos que exerçam atividades de natureza continuada nas áreas de cultura, assistência social, saúde e educação.</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Subseção III - Das Contribuições Correntes e de Capital</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35.</w:t>
      </w:r>
      <w:r w:rsidRPr="00273032">
        <w:rPr>
          <w:rFonts w:ascii="Palatino Linotype" w:eastAsia="Times New Roman" w:hAnsi="Palatino Linotype" w:cs="Arial"/>
          <w:snapToGrid w:val="0"/>
          <w:lang w:eastAsia="pt-BR"/>
        </w:rPr>
        <w:t xml:space="preserve"> A transferência de recursos a título de contribuição corrente somente será destinada a entidades sem fins lucrativos que preencham uma das seguintes condições: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I – estejam autorizadas em lei que identifique expressamente a entidade beneficiária;</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II - estejam nominalmente identificadas na Lei Orçamentária de 2018; ou</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III - sejam selecionadas para execução, em parceria com a Administração Pública Municipal, de atividades ou projetos que </w:t>
      </w:r>
      <w:r w:rsidRPr="00273032">
        <w:rPr>
          <w:rFonts w:ascii="Palatino Linotype" w:eastAsia="Times New Roman" w:hAnsi="Palatino Linotype" w:cs="Arial"/>
          <w:snapToGrid w:val="0"/>
          <w:lang w:eastAsia="pt-BR"/>
        </w:rPr>
        <w:lastRenderedPageBreak/>
        <w:t>contribuam diretamente para o alcance de diretrizes, objetivos e metas previstas no Plano Plurianual.</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No caso dos incisos I e II do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a transferência dependerá da formalização do ajuste, observadas as exigências legais aplicáveis à espécie.</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36.</w:t>
      </w:r>
      <w:r w:rsidRPr="00273032">
        <w:rPr>
          <w:rFonts w:ascii="Palatino Linotype" w:eastAsia="Times New Roman" w:hAnsi="Palatino Linotype" w:cs="Arial"/>
          <w:snapToGrid w:val="0"/>
          <w:lang w:eastAsia="pt-BR"/>
        </w:rPr>
        <w:t xml:space="preserve"> A alocação de recursos para entidades privadas sem fins lucrativos, a título de contribuições de capital, fica condicionada à autorização em lei especial anterior de que trata o art. 12, § 6</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da Lei Federal n</w:t>
      </w:r>
      <w:r w:rsidRPr="00273032">
        <w:rPr>
          <w:rFonts w:ascii="Palatino Linotype" w:eastAsia="Times New Roman" w:hAnsi="Palatino Linotype" w:cs="Arial"/>
          <w:u w:val="single"/>
          <w:vertAlign w:val="superscript"/>
          <w:lang w:eastAsia="pt-BR"/>
        </w:rPr>
        <w:t xml:space="preserve">o </w:t>
      </w:r>
      <w:r w:rsidRPr="00273032">
        <w:rPr>
          <w:rFonts w:ascii="Palatino Linotype" w:eastAsia="Times New Roman" w:hAnsi="Palatino Linotype" w:cs="Arial"/>
          <w:lang w:eastAsia="pt-BR"/>
        </w:rPr>
        <w:t xml:space="preserve"> </w:t>
      </w:r>
      <w:r w:rsidRPr="00273032">
        <w:rPr>
          <w:rFonts w:ascii="Palatino Linotype" w:eastAsia="Times New Roman" w:hAnsi="Palatino Linotype" w:cs="Arial"/>
          <w:snapToGrid w:val="0"/>
          <w:lang w:eastAsia="pt-BR"/>
        </w:rPr>
        <w:t>4.320/1964.</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lang w:eastAsia="pt-BR"/>
        </w:rPr>
      </w:pPr>
      <w:r w:rsidRPr="00273032">
        <w:rPr>
          <w:rFonts w:ascii="Palatino Linotype" w:eastAsia="Times New Roman" w:hAnsi="Palatino Linotype" w:cs="Arial"/>
          <w:b/>
          <w:lang w:eastAsia="pt-BR"/>
        </w:rPr>
        <w:t>Subseção IV - Dos Auxílios</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37.</w:t>
      </w:r>
      <w:r w:rsidRPr="00273032">
        <w:rPr>
          <w:rFonts w:ascii="Palatino Linotype" w:eastAsia="Times New Roman" w:hAnsi="Palatino Linotype" w:cs="Arial"/>
          <w:lang w:eastAsia="pt-BR"/>
        </w:rPr>
        <w:t xml:space="preserve"> A transferência de recursos a título de auxílios, previstos no art. 12, § 6</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da Lei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4.320/1964, somente poderá ser realizada para entidades privadas sem fins lucrativos que sejam:</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de atendimento direto e gratuito ao público e voltadas para a educação básica;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para o desenvolvimento de programas voltados a manutenção e preservação do Meio Ambiente;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voltadas a ações de saúde e de atendimento direto e gratuito ao público, prestadas por entidades sem fins lucrativos que sejam certificadas como entidades beneficentes de assistência social na área de saúde;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qualificadas como Organização da Sociedade Civil de Interesse Público - OSCIP, com termo de parceria firmada com o Poder Público Municipal, de acordo com a Lei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9.790/1999, e que participem da execução de programas constantes no plano plurianual, devendo a destinação de recursos guardar conformidade com os objetivos sociais da entidade;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 – qualificadas como Organizações Sociais – OS, com contrato de gestão celebrado com o Poder Público Municipal, de acordo com a Lei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9.637/1998, para fomento e execução de atividades dirigidas ao ensino, à pesquisa científica, ao desenvolvimento tecnológico, à proteção e preservação do meio ambiente, à cultura e à saúde, de acordo com o programa de trabalho proposto, as metas a serem atingidas e os prazos de execução previstos;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 - qualificadas para o desenvolvimento de atividades esportivas que contribuam para a formação e capacitação de atletas;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destinada a atender, assegurar e a promover o exercício dos direitos e das liberdades fundamentais por pessoa com deficiência, visando à sua habilitação, reabilitação e integração social e cidadania, nos termos da Lei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13.146/2015;</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VIII - constituídas sob a forma de associações ou cooperativas formadas exclusivamente por pessoas físicas em situação de </w:t>
      </w:r>
      <w:r w:rsidRPr="00273032">
        <w:rPr>
          <w:rFonts w:ascii="Palatino Linotype" w:eastAsia="Times New Roman" w:hAnsi="Palatino Linotype" w:cs="Arial"/>
          <w:lang w:eastAsia="pt-BR"/>
        </w:rPr>
        <w:lastRenderedPageBreak/>
        <w:t>risco social, reconhecidas pelo poder público como catadores de materiais recicláveis e/ou reutilizáveis, cujas ações estejam contempladas no Plano Municipal de Gerenciamento de Resíduos Sólidos, de que trata a Lei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12.305/2010, regulamentada pelo Decreto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7.404/2010; 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IX - voltadas ao atendimento direto e gratuito ao público na área de assistência social que: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a) se destinem a pessoas idosas, crianças e adolescentes em situação de vulnerabilidade social, risco pessoal e social;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b) sejam voltadas ao atendimento de pessoas em situação de vulnerabilidade social, violação de direito ou diretamente alcançadas por programas e ações de combate à pobreza e geração de trabalho e renda;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No caso do inciso I, a transferência de recursos públicos deve ser obrigatoriamente justificada e vinculada ao plano de expansão da oferta pública na respectiva etapa e modalidade de educação.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No caso do inciso IV, as</w:t>
      </w:r>
      <w:r w:rsidRPr="00273032">
        <w:rPr>
          <w:rFonts w:ascii="Palatino Linotype" w:eastAsia="Times New Roman" w:hAnsi="Palatino Linotype" w:cs="Arial"/>
          <w:snapToGrid w:val="0"/>
          <w:lang w:eastAsia="pt-BR"/>
        </w:rPr>
        <w:t xml:space="preserve"> transferências serão efetuadas por meio de termo de parceria, caso em que deverá ser observada a legislação específica pertinente a essas entidades e processo seletivo de ampla divulgação.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Subseção V - Das Disposições Gerais para Destinação de Recursos Públicos para Pessoas Físicas e Jurídicas</w:t>
      </w:r>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38.</w:t>
      </w:r>
      <w:r w:rsidRPr="00273032">
        <w:rPr>
          <w:rFonts w:ascii="Palatino Linotype" w:eastAsia="Times New Roman" w:hAnsi="Palatino Linotype" w:cs="Arial"/>
          <w:snapToGrid w:val="0"/>
          <w:lang w:eastAsia="pt-BR"/>
        </w:rPr>
        <w:t xml:space="preserve"> Sem prejuízo das demais disposições contidas nesta seção, a transferência de recursos prevista na Lei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xml:space="preserve"> 4.320/1964, a entidade privada sem fins lucrativos, dependerá ainda de:</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I – execução da despesa na modalidade de aplicação “50 – Transferências a Instituições Privadas sem fins lucrativos” e nos elementos de despesa “41 - Contribuições”, “42 - Auxílio” ou “43 - Subvenções Sociais”;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II – estar regularmente constituída, assim considerado:</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a) no mínimo 01 (um) ano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b) tenha escrituração de acordo com os princípios fundamentais de contabilidade e com as Normas Brasileiras de Contabilidade;</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III – ter apresentado as prestações de contas de recursos anteriormente recebidos, nos prazos e condições fixados na legislação e no convênio ou termo de parceria, contrato ou instrumento congênere celebrados;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IV – inexistir prestação de contas rejeitada pela Administração Pública nos últimos 5 (cinco) anos, exceto se a apreciação das contas </w:t>
      </w:r>
      <w:r w:rsidRPr="00273032">
        <w:rPr>
          <w:rFonts w:ascii="Palatino Linotype" w:eastAsia="Times New Roman" w:hAnsi="Palatino Linotype" w:cs="Arial"/>
          <w:snapToGrid w:val="0"/>
          <w:lang w:eastAsia="pt-BR"/>
        </w:rPr>
        <w:lastRenderedPageBreak/>
        <w:t>estiver pendente de decisão sobre recurso com efeito suspensivo, for sanada a irregularidade ou quitados os débitos ou reconsiderada a decisão pela rejeição</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V – não ter como dirigente pessoa que:</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a) seja membro de Poder, órgão ou entidade da Administração Pública Municipal, estendendo-se a vedação aos respectivos cônjuges ou companheiros, bem como parentes em linha reta, colateral ou por afinidade, até o segundo grau;</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snapToGrid w:val="0"/>
          <w:lang w:eastAsia="pt-BR"/>
        </w:rPr>
        <w:t xml:space="preserve">b) </w:t>
      </w:r>
      <w:r w:rsidRPr="00273032">
        <w:rPr>
          <w:rFonts w:ascii="Palatino Linotype" w:eastAsia="Times New Roman" w:hAnsi="Palatino Linotype" w:cs="Arial"/>
          <w:lang w:eastAsia="pt-BR"/>
        </w:rPr>
        <w:t>incida em quaisquer das hipóteses de inelegibilidade previstas no art. 1</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inciso I, da Lei Complementar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64, de 18 de maio de 1990;</w:t>
      </w:r>
    </w:p>
    <w:p w:rsidR="00273032" w:rsidRPr="00273032" w:rsidRDefault="00273032" w:rsidP="00273032">
      <w:pPr>
        <w:spacing w:after="0" w:line="240" w:lineRule="auto"/>
        <w:ind w:firstLine="4253"/>
        <w:jc w:val="both"/>
        <w:rPr>
          <w:rFonts w:ascii="Palatino Linotype" w:eastAsia="Times New Roman" w:hAnsi="Palatino Linotype" w:cs="Arial"/>
          <w:color w:val="000000"/>
          <w:lang w:eastAsia="pt-BR"/>
        </w:rPr>
      </w:pPr>
      <w:r w:rsidRPr="00273032">
        <w:rPr>
          <w:rFonts w:ascii="Palatino Linotype" w:eastAsia="Times New Roman" w:hAnsi="Palatino Linotype" w:cs="Arial"/>
          <w:lang w:eastAsia="pt-BR"/>
        </w:rPr>
        <w:t xml:space="preserve">c) </w:t>
      </w:r>
      <w:r w:rsidRPr="00273032">
        <w:rPr>
          <w:rFonts w:ascii="Palatino Linotype" w:eastAsia="Times New Roman" w:hAnsi="Palatino Linotype" w:cs="Arial"/>
          <w:color w:val="000000"/>
          <w:lang w:eastAsia="pt-BR"/>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273032" w:rsidRPr="00273032" w:rsidRDefault="00273032" w:rsidP="00273032">
      <w:pPr>
        <w:spacing w:after="0" w:line="240" w:lineRule="auto"/>
        <w:ind w:firstLine="4253"/>
        <w:jc w:val="both"/>
        <w:rPr>
          <w:rFonts w:ascii="Palatino Linotype" w:eastAsia="Times New Roman" w:hAnsi="Palatino Linotype" w:cs="Arial"/>
          <w:color w:val="000000"/>
          <w:lang w:eastAsia="pt-BR"/>
        </w:rPr>
      </w:pPr>
      <w:r w:rsidRPr="00273032">
        <w:rPr>
          <w:rFonts w:ascii="Palatino Linotype" w:eastAsia="Times New Roman" w:hAnsi="Palatino Linotype" w:cs="Arial"/>
          <w:color w:val="000000"/>
          <w:lang w:eastAsia="pt-BR"/>
        </w:rPr>
        <w:t>d) tenha sido julgada responsável por falta grave e inabilitada para o exercício de cargo em comissão ou função de confiança, enquanto durar a inabilitação;</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color w:val="000000"/>
          <w:lang w:eastAsia="pt-BR"/>
        </w:rPr>
        <w:t>e) tenha sido considerada responsável por ato de improbidade, enquanto durarem os prazos estabelecidos nos</w:t>
      </w:r>
      <w:r w:rsidRPr="00273032">
        <w:rPr>
          <w:rFonts w:ascii="Palatino Linotype" w:eastAsia="Arial Unicode MS" w:hAnsi="Palatino Linotype" w:cs="Arial"/>
          <w:lang w:eastAsia="pt-BR"/>
        </w:rPr>
        <w:t> </w:t>
      </w:r>
      <w:r w:rsidRPr="00273032">
        <w:rPr>
          <w:rFonts w:ascii="Palatino Linotype" w:eastAsia="Times New Roman" w:hAnsi="Palatino Linotype" w:cs="Arial"/>
          <w:lang w:eastAsia="pt-BR"/>
        </w:rPr>
        <w:t>incisos I, II e III do art. 12 da Lei no</w:t>
      </w:r>
      <w:r w:rsidRPr="00273032">
        <w:rPr>
          <w:rFonts w:ascii="Palatino Linotype" w:eastAsia="Arial Unicode MS" w:hAnsi="Palatino Linotype" w:cs="Arial"/>
          <w:color w:val="0000FF"/>
          <w:u w:val="single"/>
          <w:lang w:eastAsia="pt-BR"/>
        </w:rPr>
        <w:t> </w:t>
      </w:r>
      <w:r w:rsidRPr="00273032">
        <w:rPr>
          <w:rFonts w:ascii="Palatino Linotype" w:eastAsia="Times New Roman" w:hAnsi="Palatino Linotype" w:cs="Arial"/>
          <w:lang w:eastAsia="pt-BR"/>
        </w:rPr>
        <w:t>8.429, de 2 de junho de 1992</w:t>
      </w:r>
      <w:r w:rsidRPr="00273032">
        <w:rPr>
          <w:rFonts w:ascii="Palatino Linotype" w:eastAsia="Times New Roman" w:hAnsi="Palatino Linotype" w:cs="Arial"/>
          <w:color w:val="000000"/>
          <w:lang w:eastAsia="pt-BR"/>
        </w:rPr>
        <w:t>.</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Caberá a Secretaria Municipal de Finanças verificar e declarar a implementação das condições previstas neste artigo e demais requisitos estabelecidos nesta seção, comunicando à Unidade Central de Controle Interno eventuais irregularidades verificadas.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39.</w:t>
      </w:r>
      <w:r w:rsidRPr="00273032">
        <w:rPr>
          <w:rFonts w:ascii="Palatino Linotype" w:eastAsia="Times New Roman" w:hAnsi="Palatino Linotype" w:cs="Arial"/>
          <w:lang w:eastAsia="pt-BR"/>
        </w:rPr>
        <w:t xml:space="preserve">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40.</w:t>
      </w:r>
      <w:r w:rsidRPr="00273032">
        <w:rPr>
          <w:rFonts w:ascii="Palatino Linotype" w:eastAsia="Times New Roman" w:hAnsi="Palatino Linotype" w:cs="Arial"/>
          <w:lang w:eastAsia="pt-BR"/>
        </w:rPr>
        <w:t xml:space="preserve">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Parágrafo único.</w:t>
      </w:r>
      <w:r w:rsidRPr="00273032">
        <w:rPr>
          <w:rFonts w:ascii="Palatino Linotype" w:eastAsia="Times New Roman" w:hAnsi="Palatino Linotype" w:cs="Arial"/>
          <w:snapToGrid w:val="0"/>
          <w:lang w:eastAsia="pt-BR"/>
        </w:rPr>
        <w:t xml:space="preserve"> Enquanto vigentes os respectivos convênios, termos de parceria, contratos ou instrumentos congêneres, o </w:t>
      </w:r>
      <w:r w:rsidRPr="00273032">
        <w:rPr>
          <w:rFonts w:ascii="Palatino Linotype" w:eastAsia="Times New Roman" w:hAnsi="Palatino Linotype" w:cs="Arial"/>
          <w:snapToGrid w:val="0"/>
          <w:lang w:eastAsia="pt-BR"/>
        </w:rPr>
        <w:lastRenderedPageBreak/>
        <w:t>Poder Executivo deverá divulgar e manter atualizadas na internet relação das entidades privadas beneficiadas com recursos de subvenções, contribuições e auxílios, contendo, pelo menos: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I – nome e CNPJ da entidade; </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II – nome, função e CPF dos dirigentes; </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III – área de atuação;  </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V – endereço da sede; </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V – data, objeto, valor e número do convênio, termo de parceria, contrato ou instrumento congênere; </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VI – valores transferidos e respectivas datas. </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snapToGrid w:val="0"/>
          <w:lang w:eastAsia="pt-BR"/>
        </w:rPr>
        <w:t>Art. 41.</w:t>
      </w:r>
      <w:r w:rsidRPr="00273032">
        <w:rPr>
          <w:rFonts w:ascii="Palatino Linotype" w:eastAsia="Times New Roman" w:hAnsi="Palatino Linotype" w:cs="Arial"/>
          <w:snapToGrid w:val="0"/>
          <w:lang w:eastAsia="pt-BR"/>
        </w:rPr>
        <w:t xml:space="preserve"> Não serão consideradas subvenções, auxílios ou contribuições, o </w:t>
      </w:r>
      <w:r w:rsidRPr="00273032">
        <w:rPr>
          <w:rFonts w:ascii="Palatino Linotype" w:eastAsia="Times New Roman" w:hAnsi="Palatino Linotype" w:cs="Arial"/>
          <w:lang w:eastAsia="pt-BR"/>
        </w:rPr>
        <w:t>rateio das despesas decorrentes da participação do Município em Consórcios Públicos instituído nos termos da Lei Federal nº 11.107/2005.</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42.</w:t>
      </w:r>
      <w:r w:rsidRPr="00273032">
        <w:rPr>
          <w:rFonts w:ascii="Palatino Linotype" w:eastAsia="Times New Roman" w:hAnsi="Palatino Linotype" w:cs="Arial"/>
          <w:snapToGrid w:val="0"/>
          <w:lang w:eastAsia="pt-BR"/>
        </w:rPr>
        <w:t xml:space="preserve">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273032">
        <w:rPr>
          <w:rFonts w:ascii="Palatino Linotype" w:eastAsia="Times New Roman" w:hAnsi="Palatino Linotype" w:cs="Arial"/>
          <w:snapToGrid w:val="0"/>
          <w:u w:val="single"/>
          <w:vertAlign w:val="superscript"/>
          <w:lang w:eastAsia="pt-BR"/>
        </w:rPr>
        <w:t>o</w:t>
      </w:r>
      <w:r w:rsidRPr="00273032">
        <w:rPr>
          <w:rFonts w:ascii="Palatino Linotype" w:eastAsia="Times New Roman" w:hAnsi="Palatino Linotype" w:cs="Arial"/>
          <w:snapToGrid w:val="0"/>
          <w:lang w:eastAsia="pt-BR"/>
        </w:rPr>
        <w:t> 101/2000.</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43.</w:t>
      </w:r>
      <w:r w:rsidRPr="00273032">
        <w:rPr>
          <w:rFonts w:ascii="Palatino Linotype" w:eastAsia="Times New Roman" w:hAnsi="Palatino Linotype" w:cs="Arial"/>
          <w:snapToGrid w:val="0"/>
          <w:lang w:eastAsia="pt-BR"/>
        </w:rPr>
        <w:t xml:space="preserve"> Toda movimentação de recursos relativos às subvenções, contribuições e auxílios de que trata esta Seção, por parte das entidades beneficiárias, somente será realizada observando-se os seguintes preceitos: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I – depósito e movimentação em conta bancária específica para cada instrumento de transferência;</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II - desembolsos mediante documento bancário, por meio do qual se faça crédito na conta bancária de titularidade do fornecedor ou prestador de serviços.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Parágrafo único.</w:t>
      </w:r>
      <w:r w:rsidRPr="00273032">
        <w:rPr>
          <w:rFonts w:ascii="Palatino Linotype" w:eastAsia="Times New Roman" w:hAnsi="Palatino Linotype" w:cs="Arial"/>
          <w:snapToGrid w:val="0"/>
          <w:lang w:eastAsia="pt-BR"/>
        </w:rPr>
        <w:t xml:space="preserve">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273032" w:rsidRPr="00273032" w:rsidRDefault="00273032" w:rsidP="00273032">
      <w:pPr>
        <w:spacing w:after="0" w:line="240" w:lineRule="auto"/>
        <w:rPr>
          <w:rFonts w:ascii="Palatino Linotype" w:eastAsia="Times New Roman" w:hAnsi="Palatino Linotype" w:cs="Arial"/>
          <w:lang w:eastAsia="pt-BR"/>
        </w:rPr>
      </w:pPr>
      <w:bookmarkStart w:id="11" w:name="_Toc484165656"/>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Seção VI - Dos Empréstimos, Financiamentos e Refinanciamentos</w:t>
      </w:r>
      <w:bookmarkEnd w:id="11"/>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44.</w:t>
      </w:r>
      <w:r w:rsidRPr="00273032">
        <w:rPr>
          <w:rFonts w:ascii="Palatino Linotype" w:eastAsia="Times New Roman" w:hAnsi="Palatino Linotype" w:cs="Arial"/>
          <w:lang w:eastAsia="pt-BR"/>
        </w:rPr>
        <w:t xml:space="preserve"> Observado o disposto no art. 27 da LC nº 101/2000, a concessão de empréstimos e financiamentos destinados a pessoas físicas e jurídicas fica condicionada ao pagamento de juros não inferiores a 6% (seis por cento) ao ano, ou ao custo de captação e também às seguintes exigências: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I - concessão através de fundo rotativo ou programa governamental específico;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pré-seleção e aprovação dos beneficiários pelo Poder Público;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formalização de contrato;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assunção, pelo mutuário, dos encargos financeiros, eventuais comissões, taxas e outras despesas cobradas pelo agente financeiro, quando for o caso.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No caso das pessoas jurídicas, serão consideradas como prioritárias, para a concessão de empréstimos ou financiamentos, as empresas que: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desenvolvam projetos de responsabilidade </w:t>
      </w:r>
      <w:proofErr w:type="spellStart"/>
      <w:r w:rsidRPr="00273032">
        <w:rPr>
          <w:rFonts w:ascii="Palatino Linotype" w:eastAsia="Times New Roman" w:hAnsi="Palatino Linotype" w:cs="Arial"/>
          <w:lang w:eastAsia="pt-BR"/>
        </w:rPr>
        <w:t>sócio</w:t>
      </w:r>
      <w:r w:rsidR="0039043F">
        <w:rPr>
          <w:rFonts w:ascii="Palatino Linotype" w:eastAsia="Times New Roman" w:hAnsi="Palatino Linotype" w:cs="Arial"/>
          <w:lang w:eastAsia="pt-BR"/>
        </w:rPr>
        <w:t>-ambiental</w:t>
      </w:r>
      <w:proofErr w:type="spellEnd"/>
      <w:r w:rsidR="0039043F">
        <w:rPr>
          <w:rFonts w:ascii="Palatino Linotype" w:eastAsia="Times New Roman" w:hAnsi="Palatino Linotype" w:cs="Arial"/>
          <w:lang w:eastAsia="pt-BR"/>
        </w:rPr>
        <w:t>;</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integrem as cadeias produtivas locais;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empreguem pessoas com deficiência em proporção superior à exigida no art. 110 da Lei Federal  n</w:t>
      </w:r>
      <w:r w:rsidRPr="00273032">
        <w:rPr>
          <w:rFonts w:ascii="Palatino Linotype" w:eastAsia="Times New Roman" w:hAnsi="Palatino Linotype" w:cs="Arial"/>
          <w:position w:val="8"/>
          <w:vertAlign w:val="superscript"/>
          <w:lang w:eastAsia="pt-BR"/>
        </w:rPr>
        <w:t xml:space="preserve">o </w:t>
      </w:r>
      <w:r w:rsidRPr="00273032">
        <w:rPr>
          <w:rFonts w:ascii="Palatino Linotype" w:eastAsia="Times New Roman" w:hAnsi="Palatino Linotype" w:cs="Arial"/>
          <w:lang w:eastAsia="pt-BR"/>
        </w:rPr>
        <w:t xml:space="preserve">8.213/1991;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adotem políticas de participação dos trabalhadores nos lucros;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2º Através de lei específica, poderá ser concedido subsídio para o pagamento dos empréstimos e financiamentos de que trata 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3º As prorrogações e composições de dívidas decorrentes de empréstimos, financiamentos e refinanciamentos concedidos com recursos do Município dependem de autorização expressa em lei específica.</w:t>
      </w:r>
    </w:p>
    <w:p w:rsidR="00273032" w:rsidRPr="00273032" w:rsidRDefault="00273032" w:rsidP="00273032">
      <w:pPr>
        <w:spacing w:after="0" w:line="240" w:lineRule="auto"/>
        <w:rPr>
          <w:rFonts w:ascii="Palatino Linotype" w:eastAsia="Times New Roman" w:hAnsi="Palatino Linotype" w:cs="Arial"/>
          <w:lang w:eastAsia="pt-BR"/>
        </w:rPr>
      </w:pPr>
      <w:bookmarkStart w:id="12" w:name="_Toc484165657"/>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Capítulo VI - Das Disposições Relativas à Dívida Pública Municipal</w:t>
      </w:r>
      <w:bookmarkEnd w:id="12"/>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45.</w:t>
      </w:r>
      <w:r w:rsidRPr="00273032">
        <w:rPr>
          <w:rFonts w:ascii="Palatino Linotype" w:eastAsia="Times New Roman" w:hAnsi="Palatino Linotype" w:cs="Arial"/>
          <w:lang w:eastAsia="pt-BR"/>
        </w:rPr>
        <w:t xml:space="preserve"> A lei orçamentária anual garantirá recursos para pagamento da dívida pública municipal, nos termos dos compromissos firmados, inclusive com a previdência social.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46.</w:t>
      </w:r>
      <w:r w:rsidRPr="00273032">
        <w:rPr>
          <w:rFonts w:ascii="Palatino Linotype" w:eastAsia="Times New Roman" w:hAnsi="Palatino Linotype" w:cs="Arial"/>
          <w:lang w:eastAsia="pt-BR"/>
        </w:rPr>
        <w:t xml:space="preserve">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bookmarkStart w:id="13" w:name="_Toc484165658"/>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Capítulo VII - Das Disposições Relativas às Despesas com</w:t>
      </w: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Pessoal e Encargos Sociais</w:t>
      </w:r>
      <w:bookmarkEnd w:id="13"/>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47.</w:t>
      </w:r>
      <w:r w:rsidRPr="00273032">
        <w:rPr>
          <w:rFonts w:ascii="Palatino Linotype" w:eastAsia="Times New Roman" w:hAnsi="Palatino Linotype" w:cs="Arial"/>
          <w:lang w:eastAsia="pt-BR"/>
        </w:rPr>
        <w:t xml:space="preserve"> No exercício de 2018, as despesas globais com pessoal e encargos sociais do Município, dos Poderes Executivo e </w:t>
      </w:r>
      <w:r w:rsidRPr="00273032">
        <w:rPr>
          <w:rFonts w:ascii="Palatino Linotype" w:eastAsia="Times New Roman" w:hAnsi="Palatino Linotype" w:cs="Arial"/>
          <w:lang w:eastAsia="pt-BR"/>
        </w:rPr>
        <w:lastRenderedPageBreak/>
        <w:t>Legislativo, compreendidas as entidades mencionadas no art. 10 dessa Lei, deverão obedecer às disposições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Os Poderes Executivo e Legislativo terão como base de projeção de suas propostas orçamentárias, relativo a pessoal e encargos sociais, a despesa com a folha de pagamento do mês de setembro de 2017, compatibilizada com as despesas apresentadas até esse mês e os eventuais acréscimos legais, inclusive a revisão geral anual da remuneração dos servidores públicos, o crescimento vegetativo, e o disposto no art. 50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2º A revisão geral anual da remuneração dos servidores públicos municipais e do subsídio de que trata o § 4º do art. 39 da Constituição Federal, levará em conta, tanto quanto possível, a variação do poder aquisitivo da moeda nacional, segundo índices oficiais.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48</w:t>
      </w:r>
      <w:r w:rsidRPr="00273032">
        <w:rPr>
          <w:rFonts w:ascii="Palatino Linotype" w:eastAsia="Times New Roman" w:hAnsi="Palatino Linotype" w:cs="Arial"/>
          <w:lang w:eastAsia="pt-BR"/>
        </w:rPr>
        <w:t>. Para fins dos limites previstos no art. 19, inciso III, alíneas “a” e “b” da LC nº 101/2000, o cálculo das despesas com pessoal dos poderes executivo e legislativo deverá observar as prescrições da Instrução Normativa nº 19/2016 do Tribunal de Contas do Estado, ou a norma que lhe for superveniente.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49.</w:t>
      </w:r>
      <w:r w:rsidRPr="00273032">
        <w:rPr>
          <w:rFonts w:ascii="Palatino Linotype" w:eastAsia="Times New Roman" w:hAnsi="Palatino Linotype" w:cs="Arial"/>
          <w:lang w:eastAsia="pt-BR"/>
        </w:rPr>
        <w:t xml:space="preserve"> Para fins de atendimento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O Poder Legislativo, observará o cumprimento do disposto neste artigo, mediante ato da mesa diretora da Câmara Municipal.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50.</w:t>
      </w:r>
      <w:r w:rsidRPr="00273032">
        <w:rPr>
          <w:rFonts w:ascii="Palatino Linotype" w:eastAsia="Times New Roman" w:hAnsi="Palatino Linotype" w:cs="Arial"/>
          <w:lang w:eastAsia="pt-BR"/>
        </w:rPr>
        <w:t xml:space="preserve"> O aumento da despesa com pessoal, em decorrência de quaisquer das medidas relacionadas no artigo 169, § 1º, da Constituição Federal, desde que observada a legislação vigente, respeitados os limites previstos nos artigos 20 e 22, parágrafo único, da LC nº 101/2000, e cumpridas as exigências previstas nos artigos 16 e 17 do referido diploma legal, fica autorizado para: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conceder vantagens e aumentar a remuneração de servidores;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criar e extinguir cargos públicos e alterar a estrutura de carreiras;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prover cargos efetivos, mediante concurso público, bem como efetuar contratações por tempo determinado para atender à necessidade temporária de excepcional interesse público, respeitada a legislação municipal vigente;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prover cargos em comissão e funções de confiança;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V - melhorar a qualidade do serviço público mediante a valorização do servidor municipal, reconhecendo a função social do seu trabalho;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 - proporcionar o desenvolvimento profissional de servidores municipais, mediante a realização de programas de treinamento;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proporcionar o desenvolvimento pessoal dos servidores municipais, mediante a realização de programas informativos, educativos e culturais;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VIII - melhorar as condições de trabalho, equipamentos e infraestrutura, especialmente no que concerne à saúde, alimentação, transporte, segurança no trabalho e justa remuneração.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No caso dos incisos I, II, III e IV além dos requisitos estabelecidos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 os projetos de lei deverão demonstrar, em sua exposição de motivos, para os efeitos dos artigos 16 e 17 da LC nº 101/2000, as seguintes informações: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estimativa do impacto orçamentário-financeiro no exercício em que devam entrar em vigor e nos dois subsequentes, especificando-se os valores a serem acrescidos e o seu acréscimo percentual em relação à Receita Corrente Líquida estimada;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declaração do ordenador de despesas de que há adequação orçamentária e financeira e compatibilidade com esta Lei e com o Plano Plurianual, devendo ser indicadas as naturezas das despesas e os programas de trabalho da Lei Orçamentária Anual que contenha as dotações orçamentárias, detalhando os valores já utilizados e os saldos remanescentes.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No caso de provimento de cargos, salvo quando ocorrer dentro de 06(seis) meses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3º No caso de aumento de despesas com pessoal do Poder Legislativo, deverão ser obedecidos, adicionalmente, os limites fixados nos </w:t>
      </w:r>
      <w:proofErr w:type="spellStart"/>
      <w:r w:rsidRPr="00273032">
        <w:rPr>
          <w:rFonts w:ascii="Palatino Linotype" w:eastAsia="Times New Roman" w:hAnsi="Palatino Linotype" w:cs="Arial"/>
          <w:lang w:eastAsia="pt-BR"/>
        </w:rPr>
        <w:t>arts</w:t>
      </w:r>
      <w:proofErr w:type="spellEnd"/>
      <w:r w:rsidRPr="00273032">
        <w:rPr>
          <w:rFonts w:ascii="Palatino Linotype" w:eastAsia="Times New Roman" w:hAnsi="Palatino Linotype" w:cs="Arial"/>
          <w:lang w:eastAsia="pt-BR"/>
        </w:rPr>
        <w:t xml:space="preserve">. 29 e 29-A da Constituição Federal.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4º Ficam dispensados, da estimativa de impacto orçamentário e financeiro, atos de concessão de vantagens já previstas na legislação pertinente, de caráter meramente declaratório.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 xml:space="preserve"> Art. 51.</w:t>
      </w:r>
      <w:r w:rsidRPr="00273032">
        <w:rPr>
          <w:rFonts w:ascii="Palatino Linotype" w:eastAsia="Times New Roman" w:hAnsi="Palatino Linotype" w:cs="Arial"/>
          <w:lang w:eastAsia="pt-BR"/>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w:t>
      </w:r>
      <w:r w:rsidRPr="00273032">
        <w:rPr>
          <w:rFonts w:ascii="Palatino Linotype" w:eastAsia="Times New Roman" w:hAnsi="Palatino Linotype" w:cs="Arial"/>
          <w:lang w:eastAsia="pt-BR"/>
        </w:rPr>
        <w:lastRenderedPageBreak/>
        <w:t xml:space="preserve">quando destinada ao atendimento de situações emergenciais, de risco ou prejuízo para a população, tais como: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as situações de emergência ou de calamidade pública;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as situações de risco iminente à segurança de pessoas ou bens;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a relação custo-benefício se revelar mais favorável em relação a outra alternativa possível.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A autorização para a realização de serviço extraordinário, no âmbito do Poder Executivo, nas condições estabelecidas neste artigo, é de exclusiva competência do Prefeito Municipal.</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14" w:name="_Toc484165659"/>
      <w:r w:rsidRPr="00273032">
        <w:rPr>
          <w:rFonts w:ascii="Palatino Linotype" w:eastAsia="Times New Roman" w:hAnsi="Palatino Linotype" w:cs="Arial"/>
          <w:b/>
          <w:bCs/>
          <w:lang w:eastAsia="pt-BR"/>
        </w:rPr>
        <w:t>Capítulo VIII - Das Alterações na Legislação Tributária</w:t>
      </w:r>
      <w:bookmarkEnd w:id="14"/>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52.</w:t>
      </w:r>
      <w:r w:rsidRPr="00273032">
        <w:rPr>
          <w:rFonts w:ascii="Palatino Linotype" w:eastAsia="Times New Roman" w:hAnsi="Palatino Linotype" w:cs="Arial"/>
          <w:lang w:eastAsia="pt-BR"/>
        </w:rPr>
        <w:t xml:space="preserve"> As receitas serão estimadas e discriminadas: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considerando a legislação tributária vigente até a data do envio do projeto de lei orçamentária à Câmara Municipal;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considerando, se for o caso, os efeitos das alterações na legislação tributária, resultantes de projetos de lei encaminhados à Câmara Municipal até a data de apresentação da proposta orçamentária de 2018, especialmente sobre: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a) atualização da planta genérica de valores do Município;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b) revisão, atualização ou adequação da legislação sobre o Imposto Predial e Territorial Urbano, suas alíquotas, forma de cálculo, condições de pagamento, descontos e isenções, inclusive com relação à progressividade desse imposto;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c) revisão da legislação sobre o uso do solo, com redefinição dos limites da zona urbana municipal;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d) revisão da legislação referente ao Imposto Sobre Serviços de Qualquer Natureza;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e) revisão da legislação aplicável ao Imposto Sobre Transmissão Inter Vivos de Bens Imóveis e de Direitos Reais sobre Imóveis;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f) instituição de novas taxas pela prestação de serviços públicos e pelo exercício do poder de polícia;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g) revisão das isenções tributárias, para atender ao interesse público e à justiça social;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h) revisão das contribuições sociais, destinadas à seguridade social, cuja necessidade tenha sido evidenciada através de cálculo atuarial;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demais incentivos e benefícios fiscais.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lastRenderedPageBreak/>
        <w:t>Art. 53.</w:t>
      </w:r>
      <w:r w:rsidRPr="00273032">
        <w:rPr>
          <w:rFonts w:ascii="Palatino Linotype" w:eastAsia="Times New Roman" w:hAnsi="Palatino Linotype" w:cs="Arial"/>
          <w:lang w:eastAsia="pt-BR"/>
        </w:rPr>
        <w:t xml:space="preserve"> Caso não sejam aprovadas as modificações referidas no inciso II do art. 52, ou essas o sejam parcialmente, de forma a impedir a integralização dos recursos estimados, o Poder Executivo providenciará, conforme o caso, os ajustes necessários na programação da despesa, mediante Decreto.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54.</w:t>
      </w:r>
      <w:r w:rsidRPr="00273032">
        <w:rPr>
          <w:rFonts w:ascii="Palatino Linotype" w:eastAsia="Times New Roman" w:hAnsi="Palatino Linotype" w:cs="Arial"/>
          <w:lang w:eastAsia="pt-BR"/>
        </w:rPr>
        <w:t xml:space="preserve"> O Executivo Municipal, autorizado em lei, poderá conceder ou ampliar benefício fiscal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A concessão ou ampliação de incentivo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a) aumento de receita proveniente de elevação de alíquota, ampliação da base de cálculo, majoração ou criação de tributo ou contribuição;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b) cancelamento, durante o período em que vigorar o benefício, de despesas em valor equivalente. </w:t>
      </w:r>
    </w:p>
    <w:p w:rsidR="00273032" w:rsidRPr="00273032" w:rsidRDefault="00273032" w:rsidP="00273032">
      <w:pPr>
        <w:spacing w:after="0" w:line="240" w:lineRule="auto"/>
        <w:ind w:firstLine="4253"/>
        <w:jc w:val="both"/>
        <w:rPr>
          <w:rFonts w:ascii="Palatino Linotype" w:eastAsia="Times New Roman" w:hAnsi="Palatino Linotype" w:cs="Arial"/>
          <w:lang w:val="pt-PT" w:eastAsia="pt-PT"/>
        </w:rPr>
      </w:pPr>
      <w:r w:rsidRPr="00273032">
        <w:rPr>
          <w:rFonts w:ascii="Palatino Linotype" w:eastAsia="Times New Roman" w:hAnsi="Palatino Linotype" w:cs="Arial"/>
          <w:lang w:eastAsia="pt-BR"/>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273032">
        <w:rPr>
          <w:rFonts w:ascii="Palatino Linotype" w:eastAsia="Times New Roman" w:hAnsi="Palatino Linotype" w:cs="Arial"/>
          <w:lang w:val="pt-PT" w:eastAsia="pt-PT"/>
        </w:rPr>
        <w:t xml:space="preserve">a variação do Índice Nacional de Preços ao Consumidor Amplo calculado pela Fundação Instituto Brasileiro de Geografia e Estatística - IBGE. </w:t>
      </w:r>
    </w:p>
    <w:p w:rsidR="00273032" w:rsidRPr="00273032" w:rsidRDefault="00273032" w:rsidP="00273032">
      <w:pPr>
        <w:spacing w:after="0" w:line="240" w:lineRule="auto"/>
        <w:ind w:firstLine="4253"/>
        <w:jc w:val="both"/>
        <w:rPr>
          <w:rFonts w:ascii="Palatino Linotype" w:eastAsia="Times New Roman" w:hAnsi="Palatino Linotype" w:cs="Arial"/>
        </w:rPr>
      </w:pPr>
      <w:r w:rsidRPr="00273032">
        <w:rPr>
          <w:rFonts w:ascii="Palatino Linotype" w:eastAsia="Times New Roman" w:hAnsi="Palatino Linotype" w:cs="Arial"/>
          <w:lang w:eastAsia="pt-BR"/>
        </w:rPr>
        <w:t>§ 3º Não se sujeita às regras do §1º a homologação de pedidos de isenção, remissão ou anistia apresentados com base na legislação municipal preexistente.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55.</w:t>
      </w:r>
      <w:r w:rsidRPr="00273032">
        <w:rPr>
          <w:rFonts w:ascii="Palatino Linotype" w:eastAsia="Times New Roman" w:hAnsi="Palatino Linotype" w:cs="Arial"/>
          <w:lang w:eastAsia="pt-BR"/>
        </w:rPr>
        <w:t xml:space="preserve">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273032" w:rsidRPr="00273032" w:rsidRDefault="00273032" w:rsidP="00273032">
      <w:pPr>
        <w:spacing w:after="0" w:line="240" w:lineRule="auto"/>
        <w:rPr>
          <w:rFonts w:ascii="Palatino Linotype" w:eastAsia="Times New Roman" w:hAnsi="Palatino Linotype" w:cs="Arial"/>
          <w:lang w:eastAsia="pt-BR"/>
        </w:rPr>
      </w:pPr>
      <w:bookmarkStart w:id="15" w:name="_Toc484165660"/>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Capítulo IX - Das Disposições Relativas ao Regime de</w:t>
      </w: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Execução das Emendas Individuais</w:t>
      </w:r>
      <w:bookmarkEnd w:id="15"/>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lastRenderedPageBreak/>
        <w:t>Art. 56.</w:t>
      </w:r>
      <w:r w:rsidRPr="00273032">
        <w:rPr>
          <w:rFonts w:ascii="Palatino Linotype" w:eastAsia="Times New Roman" w:hAnsi="Palatino Linotype" w:cs="Arial"/>
          <w:lang w:eastAsia="pt-BR"/>
        </w:rPr>
        <w:t xml:space="preserve"> O regime de execução das emendas individuais ao projeto de lei orçamentária de que tratam os §§ 9º a 18 do art. 166 da Constituição da República atenderão ao disposto neste Capítulo.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57.</w:t>
      </w:r>
      <w:r w:rsidRPr="00273032">
        <w:rPr>
          <w:rFonts w:ascii="Palatino Linotype" w:eastAsia="Times New Roman" w:hAnsi="Palatino Linotype" w:cs="Arial"/>
          <w:lang w:eastAsia="pt-BR"/>
        </w:rPr>
        <w:t xml:space="preserve"> É obrigatória a execução orçamentária e financeira, de forma equitativa, das programações decorrentes de emendas individuais aprovadas ao projeto de lei orçamentária, observado os limites estabelecidos no § 9º do art. 166 da Constituição.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Considera-se execução equitativa a execução das programações que atenda, de forma igualitária e impessoal, as emendas apresentadas, independentemente da autoria.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A obrigatoriedade de execução orçamentária e financeira de que trata o caput compreende, cumulativamente, o empenho e o pagamento, observado o disposto no §16 do art. 166 da Constituição.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3º Se, durante o exercício financeiro de 2018,  for verificada a frustração de receitas na forma estabelecida pelos §§3° e 4º do art. 2º desta Lei, o montante previsto no art. 58 poderá ser reduzido na mesma proporção.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§4º Será considerada como não aprovada, a emenda individual que exceda os limites estabelecidos pelo § 6º do art. 166 da Constituição da República, sendo os recursos correspondentes revertidos à reserva de contingência de que trata o art. 58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58.</w:t>
      </w:r>
      <w:r w:rsidRPr="00273032">
        <w:rPr>
          <w:rFonts w:ascii="Palatino Linotype" w:eastAsia="Times New Roman" w:hAnsi="Palatino Linotype" w:cs="Arial"/>
          <w:lang w:eastAsia="pt-BR"/>
        </w:rPr>
        <w:t xml:space="preserve"> Para fins de atendimento ao disposto no art. 57, sem prejuízo da redução prevista no seu § 3º, o Projeto de Lei Orçamentária de 2018 conterá reserva de contingência específica em valor equivalente 1,2% (um inteiro e dois décimos por cento) da receita corrente líquida de 2017, a qual deverá ser indicada como fonte de recursos para a aprovação das emendas individuais.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Parágrafo único. Para fins de cálculo do valor de que trata o caput, considerar-se-á a receita arrecadada até o último mês anterior ao prazo para a entrega da proposta orçamentária, acrescida da tendência de arrecadação até o final do exercício.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59.</w:t>
      </w:r>
      <w:r w:rsidRPr="00273032">
        <w:rPr>
          <w:rFonts w:ascii="Palatino Linotype" w:eastAsia="Times New Roman" w:hAnsi="Palatino Linotype" w:cs="Arial"/>
          <w:lang w:eastAsia="pt-BR"/>
        </w:rPr>
        <w:t xml:space="preserve"> Para fins do disposto no § 12 do art. 166 da Constituição, consideram-se impedimentos de ordem técnica: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não indicação, pelo autor da emenda individual, quando for o caso, do beneficiário e respectivo valor da emenda;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não cumprimento pela entidade beneficiária, dos requisitos estabelecidos na Seção V do Capítulo V desta Lei, no caso de emendas que proponham transferências de recursos sob a forma de subvenções, auxílios ou contribuições;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desistência expressa do autor da emenda;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IV - incompatibilidade do objeto da emenda com a finalidade do programa ou da ação orçamentária emendada;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 – no caso de emendas relativas à execução de obras, incompatibilidade do valor proposto com o cronograma físico financeiro de execução do projeto;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 – a aprovação de emenda individual que conceda dotação para instalação ou funcionamento de serviço público que não esteja anteriormente criado por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a não indicação da Reserva de Contingência referida no art. 58 desta Lei como fonte de recursos para as emendas individuais;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os casos de impedimentos de ordem técnica que trata este artigo serão comunicados formalmente pelo Poder Executivo, observado o disposto no § 14 do art. 166 da Constituição.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As dotações orçamentárias relativas às emendas individuais que permanecerem com impedimento técnico após 20 de novembro de 2018 poderão ser utilizadas como fonte de recursos para a abertura de créditos adicionais, na forma da Lei Federal nº 4.320, de 1964.</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60.</w:t>
      </w:r>
      <w:r w:rsidRPr="00273032">
        <w:rPr>
          <w:rFonts w:ascii="Palatino Linotype" w:eastAsia="Times New Roman" w:hAnsi="Palatino Linotype" w:cs="Arial"/>
          <w:lang w:eastAsia="pt-BR"/>
        </w:rPr>
        <w:t xml:space="preserve"> Caberá à contabilidade do Município, através de registros contábeis específicos, ou através de codificação a ser introduzida no sistema de execução financeira e orçamentária, identificar e acompanhar a execução orçamentária da programação incluída ou acrescida mediante emendas de que trata esta Seção.</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16" w:name="_Toc484165661"/>
      <w:r w:rsidRPr="00273032">
        <w:rPr>
          <w:rFonts w:ascii="Palatino Linotype" w:eastAsia="Times New Roman" w:hAnsi="Palatino Linotype" w:cs="Arial"/>
          <w:b/>
          <w:bCs/>
          <w:lang w:eastAsia="pt-BR"/>
        </w:rPr>
        <w:t>Capítulo X - Das Disposições Gerais</w:t>
      </w:r>
      <w:bookmarkEnd w:id="16"/>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61.</w:t>
      </w:r>
      <w:r w:rsidRPr="00273032">
        <w:rPr>
          <w:rFonts w:ascii="Palatino Linotype" w:eastAsia="Times New Roman" w:hAnsi="Palatino Linotype" w:cs="Arial"/>
          <w:lang w:eastAsia="pt-BR"/>
        </w:rPr>
        <w:t xml:space="preserve"> Para fins de atendimento ao disposto no art. 62 da LC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A Lei Orçamentária anual, ou seus créditos adicionais, deverão contemplar recursos orçamentários suficientes para o atendimento das despesas de que trata 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62.</w:t>
      </w:r>
      <w:r w:rsidRPr="00273032">
        <w:rPr>
          <w:rFonts w:ascii="Palatino Linotype" w:eastAsia="Times New Roman" w:hAnsi="Palatino Linotype" w:cs="Arial"/>
          <w:lang w:eastAsia="pt-BR"/>
        </w:rPr>
        <w:t xml:space="preserve"> As emendas ao projeto de lei orçamentária ou aos projetos de lei que a modifiquem deverão ser compatíveis com os programas e objetivos da Lei nº 2.908 de 09 de setembro de 2017 - Plano Plurianual 2018/2021 e com as diretrizes, disposições, prioridades e metas desta Lei.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 1º Não serão admitidas, com a ressalva do inciso III do § 3º do art. 166 da Constituição Federal, as emendas que incidam sobre: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a) pessoal e encargos sociais 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b) serviço da dívida.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Para fins do disposto no § 3º, inciso I, do art. 166 da Constituição, serão consideradas incompatíveis com 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as emendas que acarretem a aplicação de recursos abaixo dos limites constitucionais mínimos previstos para os gastos com a manutenção e desenvolvimento do ensino e com as ações e serviços públicos de saúde;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as emendas que não preservem as dotações destinadas ao pagamento de sentenças judiciais;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as emendas que reduzam o montante de dotações suportadas por recursos oriundos de transferências legais ou  voluntárias da União e do Estado, alienação de bens e operações de crédito;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3º Para fins do disposto no art. 166, § 8º, da Constituição Federal, serão levados à reserva de contingência referida no inciso I do art. 14 os recursos que, em decorrência de veto, emenda ou rejeição do projeto da Lei Orçamentária Anual de 2018, ficarem sem despesas correspondentes.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4º O disposto neste artigo aplica-se no que couber às emendas sujeitas ao regime de execução de que trata o Capitulo IX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 xml:space="preserve"> Art. 63.</w:t>
      </w:r>
      <w:r w:rsidRPr="00273032">
        <w:rPr>
          <w:rFonts w:ascii="Palatino Linotype" w:eastAsia="Times New Roman" w:hAnsi="Palatino Linotype" w:cs="Arial"/>
          <w:lang w:eastAsia="pt-BR"/>
        </w:rPr>
        <w:t xml:space="preserve"> Por meio da Secretaria Municipal de Finanças,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w:t>
      </w:r>
      <w:r w:rsidRPr="00273032">
        <w:rPr>
          <w:rFonts w:ascii="Palatino Linotype" w:eastAsia="Times New Roman" w:hAnsi="Palatino Linotype" w:cs="Arial"/>
          <w:b/>
          <w:lang w:eastAsia="pt-BR"/>
        </w:rPr>
        <w:t>Art. 64.</w:t>
      </w:r>
      <w:r w:rsidRPr="00273032">
        <w:rPr>
          <w:rFonts w:ascii="Palatino Linotype" w:eastAsia="Times New Roman" w:hAnsi="Palatino Linotype" w:cs="Arial"/>
          <w:lang w:eastAsia="pt-BR"/>
        </w:rPr>
        <w:t xml:space="preserve"> Em consonância com o que dispõe o § 5º do art. 166 da Constituição Federal e o art. 78 da Lei Orgânica Municipal, poderá o Prefeito enviar Mensagem à Câmara Municipal para propor modificações aos projetos de lei orçamentária enquanto não estiver concluída a votação da parte cuja alteração é proposta.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w:t>
      </w:r>
      <w:r w:rsidRPr="00273032">
        <w:rPr>
          <w:rFonts w:ascii="Palatino Linotype" w:eastAsia="Times New Roman" w:hAnsi="Palatino Linotype" w:cs="Arial"/>
          <w:b/>
          <w:lang w:eastAsia="pt-BR"/>
        </w:rPr>
        <w:t>Art. 65.</w:t>
      </w:r>
      <w:r w:rsidRPr="00273032">
        <w:rPr>
          <w:rFonts w:ascii="Palatino Linotype" w:eastAsia="Times New Roman" w:hAnsi="Palatino Linotype" w:cs="Arial"/>
          <w:lang w:eastAsia="pt-BR"/>
        </w:rPr>
        <w:t xml:space="preserve"> Se o projeto de lei orçamentária não for aprovado até 31 de dezembro de 2017,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Excetuam-se do disposto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w:t>
      </w:r>
      <w:r w:rsidRPr="00273032">
        <w:rPr>
          <w:rFonts w:ascii="Palatino Linotype" w:eastAsia="Times New Roman" w:hAnsi="Palatino Linotype" w:cs="Arial"/>
          <w:lang w:eastAsia="pt-BR"/>
        </w:rPr>
        <w:lastRenderedPageBreak/>
        <w:t>executadas segundo suas necessidades específicas e a efetiva disponibilidade de recursos.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w:t>
      </w:r>
      <w:r>
        <w:rPr>
          <w:rFonts w:ascii="Palatino Linotype" w:eastAsia="Times New Roman" w:hAnsi="Palatino Linotype" w:cs="Arial"/>
          <w:lang w:eastAsia="pt-BR"/>
        </w:rPr>
        <w:t xml:space="preserve"> </w:t>
      </w:r>
      <w:r w:rsidRPr="00273032">
        <w:rPr>
          <w:rFonts w:ascii="Palatino Linotype" w:eastAsia="Times New Roman" w:hAnsi="Palatino Linotype" w:cs="Arial"/>
          <w:lang w:eastAsia="pt-BR"/>
        </w:rPr>
        <w:t>Não será interrompido o processamento de despesas com obras em andamento.</w:t>
      </w:r>
    </w:p>
    <w:p w:rsidR="00273032" w:rsidRPr="00273032" w:rsidRDefault="00273032" w:rsidP="00273032">
      <w:pPr>
        <w:spacing w:after="0" w:line="240" w:lineRule="auto"/>
        <w:ind w:firstLine="4253"/>
        <w:jc w:val="both"/>
        <w:rPr>
          <w:rFonts w:ascii="Palatino Linotype" w:eastAsia="Times New Roman" w:hAnsi="Palatino Linotype" w:cs="Arial"/>
          <w:lang w:val="pt-PT" w:eastAsia="pt-PT"/>
        </w:rPr>
      </w:pPr>
      <w:r w:rsidRPr="00273032">
        <w:rPr>
          <w:rFonts w:ascii="Palatino Linotype" w:eastAsia="Times New Roman" w:hAnsi="Palatino Linotype" w:cs="Arial"/>
          <w:lang w:eastAsia="pt-BR"/>
        </w:rPr>
        <w:t xml:space="preserve">§ 3º Enquanto não aprovada a Lei Orçamentária de 2018, os valores consignados no respectivo </w:t>
      </w:r>
      <w:r w:rsidRPr="00273032">
        <w:rPr>
          <w:rFonts w:ascii="Palatino Linotype" w:eastAsia="Times New Roman" w:hAnsi="Palatino Linotype" w:cs="Arial"/>
          <w:lang w:val="pt-PT" w:eastAsia="pt-PT"/>
        </w:rPr>
        <w:t xml:space="preserve">Projeto de Lei poderão ser utilizados para demonstrar, quando exigível, a previsão orçamentária nos procedimentos referentes à fase interna da licitação. </w:t>
      </w:r>
    </w:p>
    <w:p w:rsidR="00273032" w:rsidRPr="00273032" w:rsidRDefault="00273032" w:rsidP="00273032">
      <w:pPr>
        <w:spacing w:after="0" w:line="240" w:lineRule="auto"/>
        <w:ind w:firstLine="4253"/>
        <w:jc w:val="both"/>
        <w:rPr>
          <w:rFonts w:ascii="Palatino Linotype" w:eastAsia="Times New Roman" w:hAnsi="Palatino Linotype" w:cs="Arial"/>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66.</w:t>
      </w:r>
      <w:r w:rsidRPr="00273032">
        <w:rPr>
          <w:rFonts w:ascii="Palatino Linotype" w:eastAsia="Times New Roman" w:hAnsi="Palatino Linotype" w:cs="Arial"/>
          <w:lang w:eastAsia="pt-BR"/>
        </w:rPr>
        <w:t xml:space="preserve"> Esta Lei entra em vigor na data de sua publicação.</w:t>
      </w:r>
    </w:p>
    <w:p w:rsidR="00273032" w:rsidRPr="00273032" w:rsidRDefault="00273032" w:rsidP="00273032">
      <w:pPr>
        <w:spacing w:after="0" w:line="240" w:lineRule="auto"/>
        <w:ind w:firstLine="4253"/>
        <w:jc w:val="both"/>
        <w:rPr>
          <w:rFonts w:ascii="Palatino Linotype" w:eastAsia="Times New Roman" w:hAnsi="Palatino Linotype" w:cs="Times New Roman"/>
          <w:b/>
          <w:bCs/>
          <w:lang w:eastAsia="x-none"/>
        </w:rPr>
      </w:pPr>
    </w:p>
    <w:p w:rsidR="00273032" w:rsidRPr="00D42ECC" w:rsidRDefault="00273032" w:rsidP="00D42ECC">
      <w:pPr>
        <w:pBdr>
          <w:bottom w:val="single" w:sz="12" w:space="1" w:color="auto"/>
        </w:pBdr>
        <w:spacing w:after="0" w:line="240" w:lineRule="auto"/>
        <w:ind w:firstLine="4253"/>
        <w:jc w:val="both"/>
        <w:rPr>
          <w:rFonts w:ascii="Palatino Linotype" w:eastAsia="Times New Roman" w:hAnsi="Palatino Linotype" w:cs="Times New Roman"/>
          <w:b/>
          <w:bCs/>
          <w:lang w:eastAsia="x-none"/>
        </w:rPr>
      </w:pPr>
      <w:r w:rsidRPr="00273032">
        <w:rPr>
          <w:rFonts w:ascii="Palatino Linotype" w:eastAsia="Times New Roman" w:hAnsi="Palatino Linotype" w:cs="Times New Roman"/>
          <w:b/>
          <w:bCs/>
          <w:lang w:val="x-none" w:eastAsia="x-none"/>
        </w:rPr>
        <w:t>GABINETE D</w:t>
      </w:r>
      <w:r w:rsidRPr="00273032">
        <w:rPr>
          <w:rFonts w:ascii="Palatino Linotype" w:eastAsia="Times New Roman" w:hAnsi="Palatino Linotype" w:cs="Times New Roman"/>
          <w:b/>
          <w:bCs/>
          <w:lang w:eastAsia="x-none"/>
        </w:rPr>
        <w:t>O</w:t>
      </w:r>
      <w:r w:rsidRPr="00273032">
        <w:rPr>
          <w:rFonts w:ascii="Palatino Linotype" w:eastAsia="Times New Roman" w:hAnsi="Palatino Linotype" w:cs="Times New Roman"/>
          <w:b/>
          <w:bCs/>
          <w:lang w:val="x-none" w:eastAsia="x-none"/>
        </w:rPr>
        <w:t xml:space="preserve"> PREFEIT</w:t>
      </w:r>
      <w:r w:rsidRPr="00273032">
        <w:rPr>
          <w:rFonts w:ascii="Palatino Linotype" w:eastAsia="Times New Roman" w:hAnsi="Palatino Linotype" w:cs="Times New Roman"/>
          <w:b/>
          <w:bCs/>
          <w:lang w:eastAsia="x-none"/>
        </w:rPr>
        <w:t>O</w:t>
      </w:r>
      <w:r w:rsidRPr="00273032">
        <w:rPr>
          <w:rFonts w:ascii="Palatino Linotype" w:eastAsia="Times New Roman" w:hAnsi="Palatino Linotype" w:cs="Times New Roman"/>
          <w:b/>
          <w:bCs/>
          <w:lang w:val="x-none" w:eastAsia="x-none"/>
        </w:rPr>
        <w:t xml:space="preserve"> MUNICIPAL DE SÃO MARTINHO/RS, AOS </w:t>
      </w:r>
      <w:r>
        <w:rPr>
          <w:rFonts w:ascii="Palatino Linotype" w:eastAsia="Times New Roman" w:hAnsi="Palatino Linotype" w:cs="Times New Roman"/>
          <w:b/>
          <w:bCs/>
          <w:lang w:eastAsia="x-none"/>
        </w:rPr>
        <w:t>21</w:t>
      </w:r>
      <w:r w:rsidRPr="00273032">
        <w:rPr>
          <w:rFonts w:ascii="Palatino Linotype" w:eastAsia="Times New Roman" w:hAnsi="Palatino Linotype" w:cs="Times New Roman"/>
          <w:b/>
          <w:bCs/>
          <w:lang w:eastAsia="x-none"/>
        </w:rPr>
        <w:t xml:space="preserve"> </w:t>
      </w:r>
      <w:r w:rsidRPr="00273032">
        <w:rPr>
          <w:rFonts w:ascii="Palatino Linotype" w:eastAsia="Times New Roman" w:hAnsi="Palatino Linotype" w:cs="Times New Roman"/>
          <w:b/>
          <w:bCs/>
          <w:lang w:val="x-none" w:eastAsia="x-none"/>
        </w:rPr>
        <w:t xml:space="preserve">DIAS DO MÊS DE </w:t>
      </w:r>
      <w:r>
        <w:rPr>
          <w:rFonts w:ascii="Palatino Linotype" w:eastAsia="Times New Roman" w:hAnsi="Palatino Linotype" w:cs="Times New Roman"/>
          <w:b/>
          <w:bCs/>
          <w:lang w:eastAsia="x-none"/>
        </w:rPr>
        <w:t>NOVEM</w:t>
      </w:r>
      <w:r w:rsidRPr="00273032">
        <w:rPr>
          <w:rFonts w:ascii="Palatino Linotype" w:eastAsia="Times New Roman" w:hAnsi="Palatino Linotype" w:cs="Times New Roman"/>
          <w:b/>
          <w:bCs/>
          <w:lang w:eastAsia="x-none"/>
        </w:rPr>
        <w:t>BRO</w:t>
      </w:r>
      <w:r w:rsidRPr="00273032">
        <w:rPr>
          <w:rFonts w:ascii="Palatino Linotype" w:eastAsia="Times New Roman" w:hAnsi="Palatino Linotype" w:cs="Times New Roman"/>
          <w:b/>
          <w:bCs/>
          <w:lang w:val="x-none" w:eastAsia="x-none"/>
        </w:rPr>
        <w:t xml:space="preserve"> DO ANO DE 201</w:t>
      </w:r>
      <w:r w:rsidRPr="00273032">
        <w:rPr>
          <w:rFonts w:ascii="Palatino Linotype" w:eastAsia="Times New Roman" w:hAnsi="Palatino Linotype" w:cs="Times New Roman"/>
          <w:b/>
          <w:bCs/>
          <w:lang w:eastAsia="x-none"/>
        </w:rPr>
        <w:t>7</w:t>
      </w:r>
      <w:r w:rsidRPr="00273032">
        <w:rPr>
          <w:rFonts w:ascii="Palatino Linotype" w:eastAsia="Times New Roman" w:hAnsi="Palatino Linotype" w:cs="Times New Roman"/>
          <w:b/>
          <w:bCs/>
          <w:lang w:val="x-none" w:eastAsia="x-none"/>
        </w:rPr>
        <w:t>.</w:t>
      </w:r>
    </w:p>
    <w:p w:rsidR="00D42ECC" w:rsidRPr="00D42ECC" w:rsidRDefault="00D42ECC" w:rsidP="00D42ECC">
      <w:pPr>
        <w:spacing w:after="0" w:line="240" w:lineRule="auto"/>
        <w:rPr>
          <w:rFonts w:ascii="Palatino Linotype" w:eastAsia="Times New Roman" w:hAnsi="Palatino Linotype" w:cs="Times New Roman"/>
          <w:lang w:eastAsia="pt-BR"/>
        </w:rPr>
      </w:pPr>
      <w:r w:rsidRPr="00D42ECC">
        <w:rPr>
          <w:rFonts w:ascii="Palatino Linotype" w:eastAsia="Times New Roman" w:hAnsi="Palatino Linotype" w:cs="Times New Roman"/>
          <w:lang w:eastAsia="pt-BR"/>
        </w:rPr>
        <w:t>Registra-se e Publica-se</w:t>
      </w:r>
      <w:r w:rsidR="004D0F81">
        <w:rPr>
          <w:rFonts w:ascii="Palatino Linotype" w:eastAsia="Times New Roman" w:hAnsi="Palatino Linotype" w:cs="Times New Roman"/>
          <w:lang w:eastAsia="pt-BR"/>
        </w:rPr>
        <w:t>:</w:t>
      </w:r>
    </w:p>
    <w:p w:rsidR="00D42ECC" w:rsidRDefault="00D42ECC" w:rsidP="00D42ECC">
      <w:pPr>
        <w:spacing w:after="0" w:line="240" w:lineRule="auto"/>
        <w:rPr>
          <w:rFonts w:ascii="Palatino Linotype" w:eastAsia="Times New Roman" w:hAnsi="Palatino Linotype" w:cs="Times New Roman"/>
          <w:lang w:eastAsia="pt-BR"/>
        </w:rPr>
      </w:pPr>
    </w:p>
    <w:p w:rsidR="00D42ECC" w:rsidRDefault="00D42ECC" w:rsidP="00D42ECC">
      <w:pPr>
        <w:spacing w:after="0" w:line="240" w:lineRule="auto"/>
        <w:rPr>
          <w:rFonts w:ascii="Palatino Linotype" w:eastAsia="Times New Roman" w:hAnsi="Palatino Linotype" w:cs="Times New Roman"/>
          <w:lang w:eastAsia="pt-BR"/>
        </w:rPr>
      </w:pPr>
    </w:p>
    <w:p w:rsidR="00D42ECC" w:rsidRPr="00D42ECC" w:rsidRDefault="00D42ECC" w:rsidP="00D42ECC">
      <w:pPr>
        <w:spacing w:after="0" w:line="240" w:lineRule="auto"/>
        <w:ind w:left="4253"/>
        <w:jc w:val="center"/>
        <w:rPr>
          <w:rFonts w:ascii="Palatino Linotype" w:eastAsia="Times New Roman" w:hAnsi="Palatino Linotype" w:cs="Times New Roman"/>
          <w:b/>
          <w:lang w:eastAsia="pt-BR"/>
        </w:rPr>
      </w:pPr>
      <w:r w:rsidRPr="00D42ECC">
        <w:rPr>
          <w:rFonts w:ascii="Palatino Linotype" w:eastAsia="Times New Roman" w:hAnsi="Palatino Linotype" w:cs="Times New Roman"/>
          <w:b/>
          <w:lang w:eastAsia="pt-BR"/>
        </w:rPr>
        <w:t>MARINO KREWER</w:t>
      </w:r>
    </w:p>
    <w:p w:rsidR="00D42ECC" w:rsidRPr="00D42ECC" w:rsidRDefault="00D42ECC" w:rsidP="00D42ECC">
      <w:pPr>
        <w:spacing w:after="0" w:line="240" w:lineRule="auto"/>
        <w:ind w:left="4253"/>
        <w:jc w:val="center"/>
        <w:rPr>
          <w:rFonts w:ascii="Palatino Linotype" w:eastAsia="Times New Roman" w:hAnsi="Palatino Linotype" w:cs="Times New Roman"/>
          <w:lang w:eastAsia="pt-BR"/>
        </w:rPr>
      </w:pPr>
      <w:r w:rsidRPr="00D42ECC">
        <w:rPr>
          <w:rFonts w:ascii="Palatino Linotype" w:eastAsia="Times New Roman" w:hAnsi="Palatino Linotype" w:cs="Times New Roman"/>
          <w:lang w:eastAsia="pt-BR"/>
        </w:rPr>
        <w:t>Prefeito Municipal</w:t>
      </w:r>
    </w:p>
    <w:p w:rsidR="00D42ECC" w:rsidRPr="00D42ECC" w:rsidRDefault="00D42ECC" w:rsidP="00D42ECC">
      <w:pPr>
        <w:spacing w:after="0" w:line="240" w:lineRule="auto"/>
        <w:rPr>
          <w:rFonts w:ascii="Palatino Linotype" w:eastAsia="Times New Roman" w:hAnsi="Palatino Linotype" w:cs="Times New Roman"/>
          <w:lang w:eastAsia="pt-BR"/>
        </w:rPr>
      </w:pPr>
    </w:p>
    <w:p w:rsidR="00D42ECC" w:rsidRPr="00D42ECC" w:rsidRDefault="00D42ECC" w:rsidP="00D42ECC">
      <w:pPr>
        <w:spacing w:after="0" w:line="240" w:lineRule="auto"/>
        <w:rPr>
          <w:rFonts w:ascii="Palatino Linotype" w:eastAsia="Times New Roman" w:hAnsi="Palatino Linotype" w:cs="Times New Roman"/>
          <w:b/>
          <w:lang w:eastAsia="pt-BR"/>
        </w:rPr>
      </w:pPr>
      <w:r w:rsidRPr="00D42ECC">
        <w:rPr>
          <w:rFonts w:ascii="Palatino Linotype" w:eastAsia="Times New Roman" w:hAnsi="Palatino Linotype" w:cs="Times New Roman"/>
          <w:b/>
          <w:lang w:eastAsia="pt-BR"/>
        </w:rPr>
        <w:t>DIOGO SAMUEL RITTER</w:t>
      </w:r>
    </w:p>
    <w:p w:rsidR="00D42ECC" w:rsidRPr="00D42ECC" w:rsidRDefault="00D42ECC" w:rsidP="00D42ECC">
      <w:pPr>
        <w:spacing w:after="0" w:line="240" w:lineRule="auto"/>
        <w:rPr>
          <w:rFonts w:ascii="Palatino Linotype" w:eastAsia="Times New Roman" w:hAnsi="Palatino Linotype" w:cs="Times New Roman"/>
          <w:lang w:eastAsia="pt-BR"/>
        </w:rPr>
      </w:pPr>
      <w:r>
        <w:rPr>
          <w:rFonts w:ascii="Palatino Linotype" w:eastAsia="Times New Roman" w:hAnsi="Palatino Linotype" w:cs="Times New Roman"/>
          <w:lang w:eastAsia="pt-BR"/>
        </w:rPr>
        <w:t>Secretá</w:t>
      </w:r>
      <w:r w:rsidRPr="00D42ECC">
        <w:rPr>
          <w:rFonts w:ascii="Palatino Linotype" w:eastAsia="Times New Roman" w:hAnsi="Palatino Linotype" w:cs="Times New Roman"/>
          <w:lang w:eastAsia="pt-BR"/>
        </w:rPr>
        <w:t>rio Municipal de Administração</w:t>
      </w:r>
    </w:p>
    <w:p w:rsidR="006628CE" w:rsidRDefault="006628CE"/>
    <w:sectPr w:rsidR="006628CE" w:rsidSect="00273032">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B1"/>
    <w:rsid w:val="0001209E"/>
    <w:rsid w:val="000968B1"/>
    <w:rsid w:val="00273032"/>
    <w:rsid w:val="0039043F"/>
    <w:rsid w:val="004B02EC"/>
    <w:rsid w:val="004D0F81"/>
    <w:rsid w:val="006628CE"/>
    <w:rsid w:val="00C357B1"/>
    <w:rsid w:val="00D42E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AA58A-874A-4C46-9CB8-47E5780D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10321</Words>
  <Characters>55736</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Usuário do Windows</cp:lastModifiedBy>
  <cp:revision>3</cp:revision>
  <dcterms:created xsi:type="dcterms:W3CDTF">2019-09-03T14:28:00Z</dcterms:created>
  <dcterms:modified xsi:type="dcterms:W3CDTF">2019-09-03T14:28:00Z</dcterms:modified>
</cp:coreProperties>
</file>